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2A496" w14:textId="4CFACC19" w:rsidR="002B4F4A" w:rsidRPr="00D40192" w:rsidRDefault="00CC6142" w:rsidP="00721D02">
      <w:pPr>
        <w:spacing w:after="0"/>
        <w:jc w:val="center"/>
        <w:rPr>
          <w:rFonts w:ascii="Verdana" w:hAnsi="Verdana"/>
          <w:b/>
          <w:bCs/>
          <w:sz w:val="20"/>
          <w:szCs w:val="20"/>
        </w:rPr>
      </w:pPr>
      <w:r w:rsidRPr="00D40192">
        <w:rPr>
          <w:rFonts w:ascii="Verdana" w:hAnsi="Verdana"/>
          <w:b/>
          <w:bCs/>
          <w:sz w:val="20"/>
          <w:szCs w:val="20"/>
        </w:rPr>
        <w:t>PARTE</w:t>
      </w:r>
      <w:r w:rsidR="00A41E5E" w:rsidRPr="00D40192">
        <w:rPr>
          <w:rFonts w:ascii="Verdana" w:hAnsi="Verdana"/>
          <w:b/>
          <w:bCs/>
          <w:sz w:val="20"/>
          <w:szCs w:val="20"/>
        </w:rPr>
        <w:t xml:space="preserve"> </w:t>
      </w:r>
      <w:r w:rsidR="0060639E" w:rsidRPr="00D40192">
        <w:rPr>
          <w:rFonts w:ascii="Verdana" w:hAnsi="Verdana"/>
          <w:b/>
          <w:bCs/>
          <w:sz w:val="20"/>
          <w:szCs w:val="20"/>
        </w:rPr>
        <w:t>3</w:t>
      </w:r>
    </w:p>
    <w:p w14:paraId="6000F327" w14:textId="7DB31351" w:rsidR="0006736C" w:rsidRPr="00D40192" w:rsidRDefault="0060639E" w:rsidP="00721D02">
      <w:pPr>
        <w:spacing w:after="0"/>
        <w:jc w:val="center"/>
        <w:rPr>
          <w:rFonts w:ascii="Verdana" w:hAnsi="Verdana"/>
          <w:b/>
          <w:bCs/>
          <w:sz w:val="20"/>
          <w:szCs w:val="20"/>
        </w:rPr>
      </w:pPr>
      <w:r w:rsidRPr="00D40192">
        <w:rPr>
          <w:rFonts w:ascii="Verdana" w:hAnsi="Verdana"/>
          <w:b/>
          <w:bCs/>
          <w:sz w:val="20"/>
          <w:szCs w:val="20"/>
        </w:rPr>
        <w:t>INFORMACIÓN FINANCIERA Y ESQUEMAS DE REPORTE</w:t>
      </w:r>
    </w:p>
    <w:p w14:paraId="1BF07C81" w14:textId="77777777" w:rsidR="00721D02" w:rsidRPr="00D40192" w:rsidRDefault="00721D02" w:rsidP="00721D02">
      <w:pPr>
        <w:spacing w:after="0"/>
        <w:jc w:val="center"/>
        <w:rPr>
          <w:rFonts w:ascii="Verdana" w:hAnsi="Verdana"/>
          <w:b/>
          <w:bCs/>
          <w:sz w:val="20"/>
          <w:szCs w:val="20"/>
        </w:rPr>
      </w:pPr>
    </w:p>
    <w:p w14:paraId="438B98D3" w14:textId="5248E4E3" w:rsidR="00A41E5E" w:rsidRPr="00D40192" w:rsidRDefault="00A41E5E" w:rsidP="00721D02">
      <w:pPr>
        <w:spacing w:after="0"/>
        <w:jc w:val="center"/>
        <w:rPr>
          <w:rFonts w:ascii="Verdana" w:hAnsi="Verdana"/>
          <w:b/>
          <w:bCs/>
          <w:sz w:val="20"/>
          <w:szCs w:val="20"/>
        </w:rPr>
      </w:pPr>
      <w:r w:rsidRPr="00D40192">
        <w:rPr>
          <w:rFonts w:ascii="Verdana" w:hAnsi="Verdana"/>
          <w:b/>
          <w:bCs/>
          <w:sz w:val="20"/>
          <w:szCs w:val="20"/>
        </w:rPr>
        <w:t xml:space="preserve">CAPÍTULO </w:t>
      </w:r>
      <w:r w:rsidR="0060639E" w:rsidRPr="00D40192">
        <w:rPr>
          <w:rFonts w:ascii="Verdana" w:hAnsi="Verdana"/>
          <w:b/>
          <w:bCs/>
          <w:sz w:val="20"/>
          <w:szCs w:val="20"/>
        </w:rPr>
        <w:t>1</w:t>
      </w:r>
      <w:r w:rsidR="00022EDF">
        <w:rPr>
          <w:rFonts w:ascii="Verdana" w:hAnsi="Verdana"/>
          <w:b/>
          <w:bCs/>
          <w:sz w:val="20"/>
          <w:szCs w:val="20"/>
        </w:rPr>
        <w:t>1</w:t>
      </w:r>
    </w:p>
    <w:p w14:paraId="3F9900A3" w14:textId="2B36D68C" w:rsidR="00DA0C0E" w:rsidRPr="00D40192" w:rsidRDefault="0060639E" w:rsidP="00721D02">
      <w:pPr>
        <w:spacing w:after="0"/>
        <w:jc w:val="center"/>
        <w:rPr>
          <w:rFonts w:ascii="Verdana" w:hAnsi="Verdana"/>
          <w:b/>
          <w:bCs/>
          <w:sz w:val="20"/>
          <w:szCs w:val="20"/>
        </w:rPr>
      </w:pPr>
      <w:r w:rsidRPr="00D40192">
        <w:rPr>
          <w:rFonts w:ascii="Verdana" w:hAnsi="Verdana"/>
          <w:b/>
          <w:sz w:val="20"/>
          <w:szCs w:val="20"/>
        </w:rPr>
        <w:t>ENTIDADES ADMINISTRADORAS DE PENSIONES Y DE CESANTIA</w:t>
      </w:r>
    </w:p>
    <w:p w14:paraId="3AEDBD8A" w14:textId="77777777" w:rsidR="00721D02" w:rsidRPr="00D40192" w:rsidRDefault="00721D02" w:rsidP="00721D02">
      <w:pPr>
        <w:spacing w:after="0"/>
        <w:jc w:val="center"/>
        <w:rPr>
          <w:rFonts w:ascii="Verdana" w:hAnsi="Verdana"/>
          <w:b/>
          <w:bCs/>
          <w:sz w:val="20"/>
          <w:szCs w:val="20"/>
        </w:rPr>
      </w:pPr>
    </w:p>
    <w:p w14:paraId="57DA3CBB" w14:textId="59B96276" w:rsidR="00A77FC1" w:rsidRPr="00D40192" w:rsidRDefault="00A77FC1" w:rsidP="00A77FC1">
      <w:pPr>
        <w:spacing w:after="0"/>
        <w:jc w:val="center"/>
        <w:rPr>
          <w:rFonts w:ascii="Verdana" w:hAnsi="Verdana"/>
          <w:b/>
          <w:bCs/>
          <w:sz w:val="20"/>
          <w:szCs w:val="20"/>
        </w:rPr>
      </w:pPr>
      <w:r w:rsidRPr="00D40192">
        <w:rPr>
          <w:rFonts w:ascii="Verdana" w:hAnsi="Verdana"/>
          <w:b/>
          <w:bCs/>
          <w:sz w:val="20"/>
          <w:szCs w:val="20"/>
        </w:rPr>
        <w:t>SECCIÓN 1</w:t>
      </w:r>
    </w:p>
    <w:p w14:paraId="09367CF3" w14:textId="023C8D39" w:rsidR="0060639E" w:rsidRPr="00D40192" w:rsidRDefault="00A77FC1" w:rsidP="00A77FC1">
      <w:pPr>
        <w:spacing w:after="0"/>
        <w:jc w:val="center"/>
        <w:rPr>
          <w:rFonts w:ascii="Verdana" w:hAnsi="Verdana"/>
          <w:b/>
          <w:bCs/>
          <w:sz w:val="20"/>
          <w:szCs w:val="20"/>
        </w:rPr>
      </w:pPr>
      <w:r w:rsidRPr="00D40192">
        <w:rPr>
          <w:rFonts w:ascii="Verdana" w:hAnsi="Verdana"/>
          <w:b/>
          <w:bCs/>
          <w:sz w:val="20"/>
          <w:szCs w:val="20"/>
        </w:rPr>
        <w:t>TIPOS DE FONDOS DE PENSIONES OBLIGATORIAS Y PORTAFOLIOS DE CORTO Y LARGO PLAZO DEL FONDO DE CESANTÍA</w:t>
      </w:r>
    </w:p>
    <w:p w14:paraId="67DB17C0" w14:textId="0B63D8C2" w:rsidR="00BE7307" w:rsidRPr="00D40192" w:rsidRDefault="00BE7307" w:rsidP="00BE7307">
      <w:pPr>
        <w:tabs>
          <w:tab w:val="left" w:pos="540"/>
        </w:tabs>
        <w:spacing w:after="0" w:line="240" w:lineRule="auto"/>
        <w:jc w:val="both"/>
        <w:rPr>
          <w:rFonts w:ascii="Verdana" w:hAnsi="Verdana" w:cs="Arial"/>
          <w:bCs/>
          <w:sz w:val="20"/>
          <w:szCs w:val="20"/>
        </w:rPr>
      </w:pPr>
    </w:p>
    <w:p w14:paraId="713A5BF9" w14:textId="77777777" w:rsidR="002F24EA" w:rsidRPr="00D40192" w:rsidRDefault="002F24EA" w:rsidP="00BE7307">
      <w:pPr>
        <w:tabs>
          <w:tab w:val="left" w:pos="540"/>
        </w:tabs>
        <w:spacing w:after="0" w:line="240" w:lineRule="auto"/>
        <w:jc w:val="both"/>
        <w:rPr>
          <w:rFonts w:ascii="Verdana" w:hAnsi="Verdana" w:cs="Arial"/>
          <w:b/>
          <w:sz w:val="20"/>
          <w:szCs w:val="20"/>
        </w:rPr>
      </w:pPr>
    </w:p>
    <w:p w14:paraId="7F56A359" w14:textId="77777777" w:rsidR="00D40192" w:rsidRPr="00D40192" w:rsidRDefault="00D40192" w:rsidP="00BE7307">
      <w:pPr>
        <w:tabs>
          <w:tab w:val="left" w:pos="540"/>
        </w:tabs>
        <w:spacing w:after="0" w:line="240" w:lineRule="auto"/>
        <w:jc w:val="both"/>
        <w:rPr>
          <w:rFonts w:ascii="Verdana" w:hAnsi="Verdana" w:cs="Arial"/>
          <w:b/>
          <w:sz w:val="20"/>
          <w:szCs w:val="20"/>
        </w:rPr>
      </w:pPr>
    </w:p>
    <w:p w14:paraId="706256C3" w14:textId="5E3DAE5A" w:rsidR="00F5502D" w:rsidRPr="00D40192" w:rsidRDefault="003C2FD9" w:rsidP="00BE7307">
      <w:pPr>
        <w:tabs>
          <w:tab w:val="left" w:pos="540"/>
        </w:tabs>
        <w:spacing w:after="0" w:line="240" w:lineRule="auto"/>
        <w:jc w:val="both"/>
        <w:rPr>
          <w:rFonts w:ascii="Verdana" w:hAnsi="Verdana" w:cs="Arial"/>
          <w:b/>
          <w:sz w:val="20"/>
          <w:szCs w:val="20"/>
        </w:rPr>
      </w:pPr>
      <w:r w:rsidRPr="00D40192">
        <w:rPr>
          <w:rFonts w:ascii="Verdana" w:hAnsi="Verdana" w:cs="Arial"/>
          <w:b/>
          <w:sz w:val="20"/>
          <w:szCs w:val="20"/>
        </w:rPr>
        <w:t>VALOR DEL TIPO DE FONDO O PORTAFOLIO Y SU EXPRESIÓN EN UNIDADES</w:t>
      </w:r>
    </w:p>
    <w:p w14:paraId="3DBCDC42" w14:textId="77777777" w:rsidR="00F5502D" w:rsidRPr="00D40192" w:rsidRDefault="00F5502D" w:rsidP="00BE7307">
      <w:pPr>
        <w:tabs>
          <w:tab w:val="left" w:pos="540"/>
        </w:tabs>
        <w:spacing w:after="0" w:line="240" w:lineRule="auto"/>
        <w:jc w:val="both"/>
        <w:rPr>
          <w:rFonts w:ascii="Verdana" w:hAnsi="Verdana" w:cs="Arial"/>
          <w:bCs/>
          <w:sz w:val="20"/>
          <w:szCs w:val="20"/>
        </w:rPr>
      </w:pPr>
    </w:p>
    <w:p w14:paraId="6642BCF2" w14:textId="7491D70A" w:rsidR="00F5502D" w:rsidRPr="00D40192" w:rsidRDefault="00855EEC" w:rsidP="00BE7307">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F5502D" w:rsidRPr="00D40192">
        <w:rPr>
          <w:rFonts w:ascii="Verdana" w:hAnsi="Verdana" w:cs="Arial"/>
          <w:bCs/>
          <w:sz w:val="20"/>
          <w:szCs w:val="20"/>
        </w:rPr>
        <w:t>1.</w:t>
      </w:r>
      <w:r w:rsidR="00A77FC1" w:rsidRPr="00D40192">
        <w:rPr>
          <w:rFonts w:ascii="Verdana" w:hAnsi="Verdana" w:cs="Arial"/>
          <w:bCs/>
          <w:sz w:val="20"/>
          <w:szCs w:val="20"/>
        </w:rPr>
        <w:t>1.</w:t>
      </w:r>
    </w:p>
    <w:p w14:paraId="3DF935ED" w14:textId="7C7BB2E8" w:rsidR="0060639E" w:rsidRPr="00D40192" w:rsidRDefault="0060639E" w:rsidP="00BE7307">
      <w:pPr>
        <w:tabs>
          <w:tab w:val="left" w:pos="540"/>
        </w:tabs>
        <w:spacing w:after="0" w:line="240" w:lineRule="auto"/>
        <w:jc w:val="both"/>
        <w:rPr>
          <w:rFonts w:ascii="Verdana" w:hAnsi="Verdana"/>
          <w:sz w:val="20"/>
          <w:szCs w:val="20"/>
        </w:rPr>
      </w:pPr>
      <w:r w:rsidRPr="00D40192">
        <w:rPr>
          <w:rFonts w:ascii="Verdana" w:hAnsi="Verdana" w:cs="Arial"/>
          <w:bCs/>
          <w:sz w:val="20"/>
          <w:szCs w:val="20"/>
        </w:rPr>
        <w:t>El valor de los tipos de</w:t>
      </w:r>
      <w:r w:rsidRPr="00D40192">
        <w:rPr>
          <w:rFonts w:ascii="Verdana" w:hAnsi="Verdana"/>
          <w:sz w:val="20"/>
          <w:szCs w:val="20"/>
        </w:rPr>
        <w:t xml:space="preserve"> fondos de pensiones obligatorias</w:t>
      </w:r>
      <w:r w:rsidR="006E167E">
        <w:rPr>
          <w:rFonts w:ascii="Verdana" w:hAnsi="Verdana"/>
          <w:sz w:val="20"/>
          <w:szCs w:val="20"/>
        </w:rPr>
        <w:t xml:space="preserve">, </w:t>
      </w:r>
      <w:r w:rsidR="006E167E" w:rsidRPr="00F603EE">
        <w:rPr>
          <w:rFonts w:ascii="Verdana" w:hAnsi="Verdana"/>
          <w:sz w:val="20"/>
          <w:szCs w:val="20"/>
        </w:rPr>
        <w:t>los beneficios económicos periódicos</w:t>
      </w:r>
      <w:r w:rsidR="006E167E">
        <w:rPr>
          <w:rFonts w:ascii="Verdana" w:hAnsi="Verdana"/>
          <w:sz w:val="20"/>
          <w:szCs w:val="20"/>
        </w:rPr>
        <w:t xml:space="preserve"> </w:t>
      </w:r>
      <w:r w:rsidR="00CB6173">
        <w:rPr>
          <w:rFonts w:ascii="Verdana" w:hAnsi="Verdana"/>
          <w:sz w:val="20"/>
          <w:szCs w:val="20"/>
        </w:rPr>
        <w:t>(</w:t>
      </w:r>
      <w:proofErr w:type="spellStart"/>
      <w:r w:rsidR="006E167E">
        <w:rPr>
          <w:rFonts w:ascii="Verdana" w:hAnsi="Verdana"/>
          <w:sz w:val="20"/>
          <w:szCs w:val="20"/>
        </w:rPr>
        <w:t>BEPs</w:t>
      </w:r>
      <w:proofErr w:type="spellEnd"/>
      <w:r w:rsidR="007A259F">
        <w:rPr>
          <w:rFonts w:ascii="Verdana" w:hAnsi="Verdana"/>
          <w:sz w:val="20"/>
          <w:szCs w:val="20"/>
        </w:rPr>
        <w:t>)</w:t>
      </w:r>
      <w:r w:rsidRPr="00D40192">
        <w:rPr>
          <w:rFonts w:ascii="Verdana" w:hAnsi="Verdana"/>
          <w:sz w:val="20"/>
          <w:szCs w:val="20"/>
        </w:rPr>
        <w:t xml:space="preserve"> y de los portafolios del fondo de cesantía se debe determinar en forma diaria y expresarse en pesos y en unidades.</w:t>
      </w:r>
      <w:r w:rsidRPr="00D40192">
        <w:rPr>
          <w:rFonts w:ascii="Verdana" w:hAnsi="Verdana"/>
          <w:spacing w:val="20"/>
          <w:sz w:val="20"/>
          <w:szCs w:val="20"/>
        </w:rPr>
        <w:t xml:space="preserve"> </w:t>
      </w:r>
      <w:r w:rsidRPr="00D40192">
        <w:rPr>
          <w:rFonts w:ascii="Verdana" w:hAnsi="Verdana"/>
          <w:sz w:val="20"/>
          <w:szCs w:val="20"/>
        </w:rPr>
        <w:t>Las unidades miden el valor de los aportes de los afiliados y representan cuotas partes del valor patrimonial del tipo de fondo o portafolio.</w:t>
      </w:r>
    </w:p>
    <w:p w14:paraId="38F4E67A" w14:textId="77777777" w:rsidR="00C27EDB" w:rsidRPr="00D40192" w:rsidRDefault="00C27EDB" w:rsidP="00BE7307">
      <w:pPr>
        <w:tabs>
          <w:tab w:val="left" w:pos="540"/>
        </w:tabs>
        <w:spacing w:after="0" w:line="240" w:lineRule="auto"/>
        <w:jc w:val="both"/>
        <w:rPr>
          <w:rFonts w:ascii="Verdana" w:hAnsi="Verdana" w:cs="Arial"/>
          <w:bCs/>
          <w:sz w:val="20"/>
          <w:szCs w:val="20"/>
        </w:rPr>
      </w:pPr>
    </w:p>
    <w:p w14:paraId="3EF616F7" w14:textId="3111FADE" w:rsidR="00BE7307" w:rsidRPr="00D40192" w:rsidRDefault="00855EEC" w:rsidP="00BE7307">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A77FC1" w:rsidRPr="00D40192">
        <w:rPr>
          <w:rFonts w:ascii="Verdana" w:hAnsi="Verdana" w:cs="Arial"/>
          <w:bCs/>
          <w:sz w:val="20"/>
          <w:szCs w:val="20"/>
        </w:rPr>
        <w:t>1.</w:t>
      </w:r>
      <w:r w:rsidR="00BE7307" w:rsidRPr="00D40192">
        <w:rPr>
          <w:rFonts w:ascii="Verdana" w:hAnsi="Verdana" w:cs="Arial"/>
          <w:bCs/>
          <w:sz w:val="20"/>
          <w:szCs w:val="20"/>
        </w:rPr>
        <w:t>2.</w:t>
      </w:r>
    </w:p>
    <w:p w14:paraId="58B5765C" w14:textId="1033E57B" w:rsidR="0060639E" w:rsidRPr="00D40192" w:rsidRDefault="0060639E" w:rsidP="00BE7307">
      <w:pPr>
        <w:tabs>
          <w:tab w:val="left" w:pos="540"/>
        </w:tabs>
        <w:spacing w:after="0" w:line="240" w:lineRule="auto"/>
        <w:jc w:val="both"/>
        <w:rPr>
          <w:rFonts w:ascii="Verdana" w:hAnsi="Verdana" w:cs="Arial"/>
          <w:spacing w:val="20"/>
          <w:sz w:val="20"/>
          <w:szCs w:val="20"/>
        </w:rPr>
      </w:pPr>
      <w:r w:rsidRPr="00D40192">
        <w:rPr>
          <w:rFonts w:ascii="Verdana" w:hAnsi="Verdana" w:cs="Arial"/>
          <w:bCs/>
          <w:sz w:val="20"/>
          <w:szCs w:val="20"/>
        </w:rPr>
        <w:t>Los recursos recibidos y retiros efectuados en los tipos de fondos de pensiones</w:t>
      </w:r>
      <w:r w:rsidRPr="00D40192">
        <w:rPr>
          <w:rFonts w:ascii="Verdana" w:hAnsi="Verdana"/>
          <w:sz w:val="20"/>
          <w:szCs w:val="20"/>
        </w:rPr>
        <w:t xml:space="preserve"> obligatorias o portafolios de los fondos de cesantía por cada uno de los conceptos de los formatos o reportes establecidos por la SFC para la valoración de los tipos de fondos de pensiones obligatorias o portafolios de los fondos de </w:t>
      </w:r>
      <w:r w:rsidR="00BE7307" w:rsidRPr="00D40192">
        <w:rPr>
          <w:rFonts w:ascii="Verdana" w:hAnsi="Verdana"/>
          <w:sz w:val="20"/>
          <w:szCs w:val="20"/>
        </w:rPr>
        <w:t>cesantías</w:t>
      </w:r>
      <w:r w:rsidRPr="00D40192">
        <w:rPr>
          <w:rFonts w:ascii="Verdana" w:hAnsi="Verdana"/>
          <w:sz w:val="20"/>
          <w:szCs w:val="20"/>
        </w:rPr>
        <w:t xml:space="preserve"> se deben expresar en unidades y tal conversión se debe efectuar al valor de la unidad calculado al cierre del día inmediatamente anterior.</w:t>
      </w:r>
      <w:r w:rsidRPr="00D40192">
        <w:rPr>
          <w:rFonts w:ascii="Verdana" w:hAnsi="Verdana" w:cs="Arial"/>
          <w:spacing w:val="20"/>
          <w:sz w:val="20"/>
          <w:szCs w:val="20"/>
        </w:rPr>
        <w:t xml:space="preserve"> </w:t>
      </w:r>
      <w:r w:rsidRPr="00D40192">
        <w:rPr>
          <w:rFonts w:ascii="Verdana" w:hAnsi="Verdana"/>
          <w:sz w:val="20"/>
          <w:szCs w:val="20"/>
        </w:rPr>
        <w:t xml:space="preserve">Tales movimientos deben registrarse en unidades con una precisión de </w:t>
      </w:r>
      <w:r w:rsidR="00A51D09" w:rsidRPr="00D40192">
        <w:rPr>
          <w:rFonts w:ascii="Verdana" w:hAnsi="Verdana"/>
          <w:sz w:val="20"/>
          <w:szCs w:val="20"/>
        </w:rPr>
        <w:t>6</w:t>
      </w:r>
      <w:r w:rsidRPr="00D40192">
        <w:rPr>
          <w:rFonts w:ascii="Verdana" w:hAnsi="Verdana"/>
          <w:sz w:val="20"/>
          <w:szCs w:val="20"/>
        </w:rPr>
        <w:t xml:space="preserve"> decimales.</w:t>
      </w:r>
    </w:p>
    <w:p w14:paraId="20DB78C9" w14:textId="77777777" w:rsidR="00800005" w:rsidRPr="00D40192" w:rsidRDefault="00800005" w:rsidP="00BE7307">
      <w:pPr>
        <w:tabs>
          <w:tab w:val="left" w:pos="540"/>
        </w:tabs>
        <w:spacing w:after="0" w:line="240" w:lineRule="auto"/>
        <w:jc w:val="both"/>
        <w:rPr>
          <w:rFonts w:ascii="Verdana" w:hAnsi="Verdana"/>
          <w:sz w:val="20"/>
          <w:szCs w:val="20"/>
        </w:rPr>
      </w:pPr>
    </w:p>
    <w:p w14:paraId="4D690C8C" w14:textId="61598287" w:rsidR="00F5502D" w:rsidRPr="00D40192" w:rsidRDefault="0060639E" w:rsidP="00BE7307">
      <w:pPr>
        <w:tabs>
          <w:tab w:val="left" w:pos="540"/>
        </w:tabs>
        <w:spacing w:after="0" w:line="240" w:lineRule="auto"/>
        <w:jc w:val="both"/>
        <w:rPr>
          <w:rFonts w:ascii="Verdana" w:hAnsi="Verdana" w:cs="Arial"/>
          <w:b/>
          <w:sz w:val="20"/>
          <w:szCs w:val="20"/>
        </w:rPr>
      </w:pPr>
      <w:r w:rsidRPr="00D40192">
        <w:rPr>
          <w:rFonts w:ascii="Verdana" w:hAnsi="Verdana" w:cs="Arial"/>
          <w:b/>
          <w:sz w:val="20"/>
          <w:szCs w:val="20"/>
        </w:rPr>
        <w:t>Valor del tipo de fondo o portafolio al cierre del día t antes de rendimientos (VFC)</w:t>
      </w:r>
    </w:p>
    <w:p w14:paraId="44BEBA85" w14:textId="77777777" w:rsidR="00F5502D" w:rsidRPr="00D40192" w:rsidRDefault="00F5502D" w:rsidP="00BE7307">
      <w:pPr>
        <w:tabs>
          <w:tab w:val="left" w:pos="540"/>
        </w:tabs>
        <w:spacing w:after="0" w:line="240" w:lineRule="auto"/>
        <w:jc w:val="both"/>
        <w:rPr>
          <w:rFonts w:ascii="Verdana" w:hAnsi="Verdana" w:cs="Arial"/>
          <w:bCs/>
          <w:sz w:val="20"/>
          <w:szCs w:val="20"/>
        </w:rPr>
      </w:pPr>
    </w:p>
    <w:p w14:paraId="61B7EDF8" w14:textId="249C6D40" w:rsidR="00F5502D" w:rsidRPr="00D40192" w:rsidRDefault="00855EEC" w:rsidP="00F5502D">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A77FC1" w:rsidRPr="00D40192">
        <w:rPr>
          <w:rFonts w:ascii="Verdana" w:hAnsi="Verdana" w:cs="Arial"/>
          <w:bCs/>
          <w:sz w:val="20"/>
          <w:szCs w:val="20"/>
        </w:rPr>
        <w:t>1.</w:t>
      </w:r>
      <w:r w:rsidR="00F5502D" w:rsidRPr="00D40192">
        <w:rPr>
          <w:rFonts w:ascii="Verdana" w:hAnsi="Verdana" w:cs="Arial"/>
          <w:bCs/>
          <w:sz w:val="20"/>
          <w:szCs w:val="20"/>
        </w:rPr>
        <w:t>3.</w:t>
      </w:r>
    </w:p>
    <w:p w14:paraId="66CDD53B" w14:textId="2EA23E63" w:rsidR="0060639E" w:rsidRPr="00D40192" w:rsidRDefault="0060639E" w:rsidP="00800005">
      <w:pPr>
        <w:tabs>
          <w:tab w:val="left" w:pos="540"/>
        </w:tabs>
        <w:spacing w:after="0" w:line="240" w:lineRule="auto"/>
        <w:jc w:val="both"/>
        <w:rPr>
          <w:rFonts w:ascii="Verdana" w:hAnsi="Verdana"/>
          <w:sz w:val="20"/>
          <w:szCs w:val="20"/>
        </w:rPr>
      </w:pPr>
      <w:r w:rsidRPr="00D40192">
        <w:rPr>
          <w:rFonts w:ascii="Verdana" w:hAnsi="Verdana" w:cs="Arial"/>
          <w:bCs/>
          <w:sz w:val="20"/>
          <w:szCs w:val="20"/>
        </w:rPr>
        <w:t>El</w:t>
      </w:r>
      <w:r w:rsidRPr="00D40192">
        <w:rPr>
          <w:rFonts w:ascii="Verdana" w:hAnsi="Verdana"/>
          <w:sz w:val="20"/>
          <w:szCs w:val="20"/>
        </w:rPr>
        <w:t xml:space="preserve"> valor de cada tipo de fondo de pensiones obligatorias o portafolio del fondo de cesantía se determina de conformidad con las instrucciones aplicables </w:t>
      </w:r>
      <w:r w:rsidR="00CE6356">
        <w:rPr>
          <w:rFonts w:ascii="Verdana" w:hAnsi="Verdana"/>
          <w:sz w:val="20"/>
          <w:szCs w:val="20"/>
        </w:rPr>
        <w:t xml:space="preserve">en </w:t>
      </w:r>
      <w:r w:rsidRPr="00D40192">
        <w:rPr>
          <w:rFonts w:ascii="Verdana" w:hAnsi="Verdana"/>
          <w:sz w:val="20"/>
          <w:szCs w:val="20"/>
        </w:rPr>
        <w:t>los formatos o reportes establecidos por la SFC para la valoración de los tipos de fondos de pensiones obligatorias o portafolios del fondo de cesantía</w:t>
      </w:r>
      <w:r w:rsidR="00CE6356">
        <w:rPr>
          <w:rFonts w:ascii="Verdana" w:hAnsi="Verdana"/>
          <w:sz w:val="20"/>
          <w:szCs w:val="20"/>
        </w:rPr>
        <w:t>s</w:t>
      </w:r>
      <w:r w:rsidRPr="00D40192">
        <w:rPr>
          <w:rFonts w:ascii="Verdana" w:hAnsi="Verdana"/>
          <w:sz w:val="20"/>
          <w:szCs w:val="20"/>
        </w:rPr>
        <w:t>.</w:t>
      </w:r>
    </w:p>
    <w:p w14:paraId="614E08A2" w14:textId="77777777" w:rsidR="00800005" w:rsidRPr="00D40192" w:rsidRDefault="00800005" w:rsidP="00800005">
      <w:pPr>
        <w:tabs>
          <w:tab w:val="left" w:pos="540"/>
        </w:tabs>
        <w:spacing w:after="0" w:line="240" w:lineRule="auto"/>
        <w:jc w:val="both"/>
        <w:rPr>
          <w:rFonts w:ascii="Verdana" w:hAnsi="Verdana"/>
          <w:sz w:val="20"/>
          <w:szCs w:val="20"/>
        </w:rPr>
      </w:pPr>
    </w:p>
    <w:p w14:paraId="60D1F437" w14:textId="0C6327E8" w:rsidR="004A1574" w:rsidRPr="00D40192" w:rsidRDefault="0060639E" w:rsidP="00C669DB">
      <w:pPr>
        <w:tabs>
          <w:tab w:val="left" w:pos="540"/>
        </w:tabs>
        <w:spacing w:after="0" w:line="240" w:lineRule="auto"/>
        <w:jc w:val="both"/>
        <w:rPr>
          <w:rFonts w:ascii="Verdana" w:hAnsi="Verdana" w:cs="Arial"/>
          <w:b/>
          <w:sz w:val="20"/>
          <w:szCs w:val="20"/>
        </w:rPr>
      </w:pPr>
      <w:r w:rsidRPr="00D40192">
        <w:rPr>
          <w:rFonts w:ascii="Verdana" w:hAnsi="Verdana" w:cs="Arial"/>
          <w:b/>
          <w:sz w:val="20"/>
          <w:szCs w:val="20"/>
        </w:rPr>
        <w:t>Valor del tipo de fondo de pensiones y portafolio de cesantías al cierre del día t incluidos los rendimientos</w:t>
      </w:r>
    </w:p>
    <w:p w14:paraId="24FFDBAE" w14:textId="77777777" w:rsidR="004A1574" w:rsidRPr="00D40192" w:rsidRDefault="004A1574" w:rsidP="00C669DB">
      <w:pPr>
        <w:tabs>
          <w:tab w:val="left" w:pos="540"/>
        </w:tabs>
        <w:spacing w:after="0" w:line="240" w:lineRule="auto"/>
        <w:jc w:val="both"/>
        <w:rPr>
          <w:rFonts w:ascii="Verdana" w:hAnsi="Verdana" w:cs="Arial"/>
          <w:sz w:val="20"/>
          <w:szCs w:val="20"/>
        </w:rPr>
      </w:pPr>
    </w:p>
    <w:p w14:paraId="069B5F22" w14:textId="51EC6CB2" w:rsidR="004A1574" w:rsidRPr="00D40192" w:rsidRDefault="00855EEC" w:rsidP="004A157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A77FC1" w:rsidRPr="00D40192">
        <w:rPr>
          <w:rFonts w:ascii="Verdana" w:hAnsi="Verdana" w:cs="Arial"/>
          <w:bCs/>
          <w:sz w:val="20"/>
          <w:szCs w:val="20"/>
        </w:rPr>
        <w:t>1.</w:t>
      </w:r>
      <w:r w:rsidR="004A1574" w:rsidRPr="00D40192">
        <w:rPr>
          <w:rFonts w:ascii="Verdana" w:hAnsi="Verdana" w:cs="Arial"/>
          <w:bCs/>
          <w:sz w:val="20"/>
          <w:szCs w:val="20"/>
        </w:rPr>
        <w:t>4.</w:t>
      </w:r>
    </w:p>
    <w:p w14:paraId="737803B1" w14:textId="77777777" w:rsidR="007734A1" w:rsidRPr="00D40192" w:rsidRDefault="0060639E" w:rsidP="007734A1">
      <w:pPr>
        <w:tabs>
          <w:tab w:val="left" w:pos="540"/>
        </w:tabs>
        <w:spacing w:after="0" w:line="240" w:lineRule="auto"/>
        <w:jc w:val="both"/>
        <w:rPr>
          <w:rFonts w:ascii="Verdana" w:hAnsi="Verdana" w:cs="Arial"/>
          <w:sz w:val="20"/>
          <w:szCs w:val="20"/>
        </w:rPr>
      </w:pPr>
      <w:r w:rsidRPr="00D40192">
        <w:rPr>
          <w:rFonts w:ascii="Verdana" w:hAnsi="Verdana" w:cs="Arial"/>
          <w:sz w:val="20"/>
          <w:szCs w:val="20"/>
        </w:rPr>
        <w:t>En el caso de los tipos de fondos de pensiones obligatorias, sobre el valor de cada tipo de fondo o portafolio al cierre del día t, antes de rendimientos (VFC), se procede a obtener el valor de cada tipo de fondo al cierre del día t, incluidos los rendimientos (VFCR), aplicando los ingresos y gastos inherentes a cada uno de ellos. Tratándose de los portafolios de los fondos de cesantía, sobre el valor de cada portafolio al cierre del día t, antes de rendimientos (VFC), se calcula el valor de la comisión que cobra la sociedad administradora. Una vez hecho el cálculo, se procede a obtener el valor de cada fondo o portafolio al cierre del día t, incluidos los rendimientos (VFCR), aplicando los ingresos y gastos inherentes a cada uno de ellos, a saber:</w:t>
      </w:r>
    </w:p>
    <w:p w14:paraId="567253F4" w14:textId="77777777" w:rsidR="007734A1" w:rsidRPr="00D40192" w:rsidRDefault="007734A1" w:rsidP="007734A1">
      <w:pPr>
        <w:tabs>
          <w:tab w:val="left" w:pos="540"/>
        </w:tabs>
        <w:spacing w:after="0" w:line="240" w:lineRule="auto"/>
        <w:jc w:val="both"/>
        <w:rPr>
          <w:rFonts w:ascii="Verdana" w:hAnsi="Verdana" w:cs="Arial"/>
          <w:sz w:val="20"/>
          <w:szCs w:val="20"/>
        </w:rPr>
      </w:pPr>
    </w:p>
    <w:p w14:paraId="13CA198F" w14:textId="5E329B07" w:rsidR="0060639E" w:rsidRPr="00D40192" w:rsidRDefault="0060639E" w:rsidP="003C4A4D">
      <w:pPr>
        <w:pStyle w:val="Prrafodelista"/>
        <w:numPr>
          <w:ilvl w:val="0"/>
          <w:numId w:val="25"/>
        </w:numPr>
        <w:tabs>
          <w:tab w:val="left" w:pos="284"/>
        </w:tabs>
        <w:spacing w:after="0" w:line="240" w:lineRule="auto"/>
        <w:ind w:left="284" w:hanging="284"/>
        <w:jc w:val="both"/>
        <w:rPr>
          <w:rFonts w:ascii="Verdana" w:hAnsi="Verdana" w:cs="Arial"/>
          <w:b/>
          <w:bCs/>
          <w:sz w:val="20"/>
          <w:szCs w:val="20"/>
        </w:rPr>
      </w:pPr>
      <w:r w:rsidRPr="00D40192">
        <w:rPr>
          <w:rFonts w:ascii="Verdana" w:hAnsi="Verdana" w:cs="Arial"/>
          <w:b/>
          <w:bCs/>
          <w:sz w:val="20"/>
          <w:szCs w:val="20"/>
        </w:rPr>
        <w:t>Ingresos (ING)</w:t>
      </w:r>
    </w:p>
    <w:p w14:paraId="7358657B" w14:textId="77777777" w:rsidR="007734A1" w:rsidRPr="00D40192" w:rsidRDefault="007734A1" w:rsidP="007734A1">
      <w:pPr>
        <w:spacing w:after="0" w:line="240" w:lineRule="auto"/>
        <w:jc w:val="both"/>
        <w:rPr>
          <w:rFonts w:ascii="Verdana" w:hAnsi="Verdana" w:cs="Arial"/>
          <w:sz w:val="20"/>
          <w:szCs w:val="20"/>
        </w:rPr>
      </w:pPr>
    </w:p>
    <w:p w14:paraId="213A09B6" w14:textId="495AB96C" w:rsidR="007734A1" w:rsidRPr="00D40192" w:rsidRDefault="00855EEC" w:rsidP="007734A1">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7734A1" w:rsidRPr="00D40192">
        <w:rPr>
          <w:rFonts w:ascii="Verdana" w:hAnsi="Verdana" w:cs="Arial"/>
          <w:bCs/>
          <w:sz w:val="20"/>
          <w:szCs w:val="20"/>
        </w:rPr>
        <w:t>1.</w:t>
      </w:r>
      <w:r w:rsidR="00940C50" w:rsidRPr="00D40192">
        <w:rPr>
          <w:rFonts w:ascii="Verdana" w:hAnsi="Verdana" w:cs="Arial"/>
          <w:bCs/>
          <w:sz w:val="20"/>
          <w:szCs w:val="20"/>
        </w:rPr>
        <w:t>5</w:t>
      </w:r>
      <w:r w:rsidR="007734A1" w:rsidRPr="00D40192">
        <w:rPr>
          <w:rFonts w:ascii="Verdana" w:hAnsi="Verdana" w:cs="Arial"/>
          <w:bCs/>
          <w:sz w:val="20"/>
          <w:szCs w:val="20"/>
        </w:rPr>
        <w:t>.</w:t>
      </w:r>
    </w:p>
    <w:p w14:paraId="55530BB3" w14:textId="29FF17CC" w:rsidR="00B72BD9" w:rsidRPr="00D40192" w:rsidRDefault="00B72BD9" w:rsidP="007734A1">
      <w:pPr>
        <w:spacing w:after="0" w:line="240" w:lineRule="auto"/>
        <w:jc w:val="both"/>
        <w:rPr>
          <w:rFonts w:ascii="Verdana" w:hAnsi="Verdana" w:cs="Arial"/>
          <w:sz w:val="20"/>
          <w:szCs w:val="20"/>
        </w:rPr>
      </w:pPr>
      <w:r w:rsidRPr="00D40192">
        <w:rPr>
          <w:rFonts w:ascii="Verdana" w:hAnsi="Verdana" w:cs="Arial"/>
          <w:sz w:val="20"/>
          <w:szCs w:val="20"/>
        </w:rPr>
        <w:t>Los siguientes rubros se computan como ingresos:</w:t>
      </w:r>
    </w:p>
    <w:p w14:paraId="62A544F3" w14:textId="77777777" w:rsidR="00B72BD9" w:rsidRPr="00D40192" w:rsidRDefault="00B72BD9" w:rsidP="007734A1">
      <w:pPr>
        <w:spacing w:after="0" w:line="240" w:lineRule="auto"/>
        <w:jc w:val="both"/>
        <w:rPr>
          <w:rFonts w:ascii="Verdana" w:hAnsi="Verdana" w:cs="Arial"/>
          <w:sz w:val="20"/>
          <w:szCs w:val="20"/>
        </w:rPr>
      </w:pPr>
    </w:p>
    <w:p w14:paraId="7E237413" w14:textId="7F20357E" w:rsidR="00B72BD9" w:rsidRPr="00D40192" w:rsidRDefault="00B72BD9" w:rsidP="00B72BD9">
      <w:pPr>
        <w:pStyle w:val="Prrafodelista"/>
        <w:numPr>
          <w:ilvl w:val="0"/>
          <w:numId w:val="24"/>
        </w:numPr>
        <w:spacing w:after="0" w:line="240" w:lineRule="auto"/>
        <w:ind w:left="567" w:hanging="567"/>
        <w:jc w:val="both"/>
        <w:rPr>
          <w:rFonts w:ascii="Verdana" w:hAnsi="Verdana" w:cs="Arial"/>
          <w:sz w:val="20"/>
          <w:szCs w:val="20"/>
        </w:rPr>
      </w:pPr>
      <w:r w:rsidRPr="00D40192">
        <w:rPr>
          <w:rFonts w:ascii="Verdana" w:hAnsi="Verdana" w:cs="Arial"/>
          <w:sz w:val="20"/>
          <w:szCs w:val="20"/>
        </w:rPr>
        <w:t xml:space="preserve">Los </w:t>
      </w:r>
      <w:r w:rsidR="0060639E" w:rsidRPr="00D40192">
        <w:rPr>
          <w:rFonts w:ascii="Verdana" w:hAnsi="Verdana" w:cs="Arial"/>
          <w:sz w:val="20"/>
          <w:szCs w:val="20"/>
        </w:rPr>
        <w:t xml:space="preserve">rendimientos financieros generados por los activos que conforman el tipo de fondo o portafolio, tales como la utilidad en valoración de inversiones, rendimientos en operaciones repo, simultáneas y transferencia temporal de valores, utilidad en valoración de operaciones de contado y utilidad en la valoración de derivados. Tratándose de la utilidad o pérdida en valoración de inversiones, cabe anotar que la misma debe ser la originada con base en los precios o tasas de referencia y márgenes, según lo dispuesto en el </w:t>
      </w:r>
      <w:r w:rsidR="00B31B11">
        <w:rPr>
          <w:rFonts w:ascii="Verdana" w:hAnsi="Verdana" w:cs="Arial"/>
          <w:sz w:val="20"/>
          <w:szCs w:val="20"/>
        </w:rPr>
        <w:t>c</w:t>
      </w:r>
      <w:r w:rsidR="0060639E" w:rsidRPr="00D40192">
        <w:rPr>
          <w:rFonts w:ascii="Verdana" w:hAnsi="Verdana" w:cs="Arial"/>
          <w:sz w:val="20"/>
          <w:szCs w:val="20"/>
        </w:rPr>
        <w:t>apítulo I de la presente Circular, publicados el día t.</w:t>
      </w:r>
    </w:p>
    <w:p w14:paraId="38720FE4" w14:textId="77777777" w:rsidR="003C4A4D" w:rsidRPr="00D40192" w:rsidRDefault="003C4A4D" w:rsidP="003C4A4D">
      <w:pPr>
        <w:pStyle w:val="Prrafodelista"/>
        <w:spacing w:after="0" w:line="240" w:lineRule="auto"/>
        <w:ind w:left="567"/>
        <w:jc w:val="both"/>
        <w:rPr>
          <w:rFonts w:ascii="Verdana" w:hAnsi="Verdana" w:cs="Arial"/>
          <w:sz w:val="20"/>
          <w:szCs w:val="20"/>
        </w:rPr>
      </w:pPr>
    </w:p>
    <w:p w14:paraId="2BD91870" w14:textId="49395B58" w:rsidR="003C4A4D" w:rsidRPr="00D40192" w:rsidRDefault="0060639E" w:rsidP="003C4A4D">
      <w:pPr>
        <w:pStyle w:val="Prrafodelista"/>
        <w:numPr>
          <w:ilvl w:val="0"/>
          <w:numId w:val="24"/>
        </w:numPr>
        <w:spacing w:after="0" w:line="240" w:lineRule="auto"/>
        <w:ind w:left="567" w:hanging="567"/>
        <w:jc w:val="both"/>
        <w:rPr>
          <w:rFonts w:ascii="Verdana" w:hAnsi="Verdana" w:cs="Arial"/>
          <w:sz w:val="20"/>
          <w:szCs w:val="20"/>
        </w:rPr>
      </w:pPr>
      <w:r w:rsidRPr="00D40192">
        <w:rPr>
          <w:rFonts w:ascii="Verdana" w:hAnsi="Verdana" w:cs="Arial"/>
          <w:sz w:val="20"/>
          <w:szCs w:val="20"/>
        </w:rPr>
        <w:t>Utilidad en venta de activos</w:t>
      </w:r>
    </w:p>
    <w:p w14:paraId="2E70A16A" w14:textId="77777777" w:rsidR="003C4A4D" w:rsidRPr="00D40192" w:rsidRDefault="003C4A4D" w:rsidP="003C4A4D">
      <w:pPr>
        <w:pStyle w:val="Prrafodelista"/>
        <w:spacing w:after="0" w:line="240" w:lineRule="auto"/>
        <w:ind w:left="567"/>
        <w:jc w:val="both"/>
        <w:rPr>
          <w:rFonts w:ascii="Verdana" w:hAnsi="Verdana" w:cs="Arial"/>
          <w:sz w:val="20"/>
          <w:szCs w:val="20"/>
        </w:rPr>
      </w:pPr>
    </w:p>
    <w:p w14:paraId="6221E41F" w14:textId="0AD87E44" w:rsidR="003C4A4D" w:rsidRPr="00D40192" w:rsidRDefault="0060639E" w:rsidP="003C4A4D">
      <w:pPr>
        <w:pStyle w:val="Prrafodelista"/>
        <w:numPr>
          <w:ilvl w:val="0"/>
          <w:numId w:val="24"/>
        </w:numPr>
        <w:spacing w:after="0" w:line="240" w:lineRule="auto"/>
        <w:ind w:left="567" w:hanging="567"/>
        <w:jc w:val="both"/>
        <w:rPr>
          <w:rFonts w:ascii="Verdana" w:hAnsi="Verdana" w:cs="Arial"/>
          <w:sz w:val="20"/>
          <w:szCs w:val="20"/>
        </w:rPr>
      </w:pPr>
      <w:r w:rsidRPr="00D40192">
        <w:rPr>
          <w:rFonts w:ascii="Verdana" w:hAnsi="Verdana" w:cs="Arial"/>
          <w:sz w:val="20"/>
          <w:szCs w:val="20"/>
        </w:rPr>
        <w:lastRenderedPageBreak/>
        <w:t>Rendimientos provenientes de anulación de aportes</w:t>
      </w:r>
    </w:p>
    <w:p w14:paraId="7211BBC8" w14:textId="77777777" w:rsidR="003C4A4D" w:rsidRPr="00D40192" w:rsidRDefault="003C4A4D" w:rsidP="003C4A4D">
      <w:pPr>
        <w:pStyle w:val="Prrafodelista"/>
        <w:spacing w:after="0" w:line="240" w:lineRule="auto"/>
        <w:ind w:left="567"/>
        <w:jc w:val="both"/>
        <w:rPr>
          <w:rFonts w:ascii="Verdana" w:hAnsi="Verdana" w:cs="Arial"/>
          <w:sz w:val="20"/>
          <w:szCs w:val="20"/>
        </w:rPr>
      </w:pPr>
    </w:p>
    <w:p w14:paraId="5B318BC3" w14:textId="77777777" w:rsidR="003C4A4D" w:rsidRPr="00D40192" w:rsidRDefault="0060639E" w:rsidP="003C4A4D">
      <w:pPr>
        <w:pStyle w:val="Prrafodelista"/>
        <w:numPr>
          <w:ilvl w:val="0"/>
          <w:numId w:val="24"/>
        </w:numPr>
        <w:spacing w:after="0" w:line="240" w:lineRule="auto"/>
        <w:ind w:left="567" w:hanging="567"/>
        <w:jc w:val="both"/>
        <w:rPr>
          <w:rFonts w:ascii="Verdana" w:hAnsi="Verdana" w:cs="Arial"/>
          <w:sz w:val="20"/>
          <w:szCs w:val="20"/>
        </w:rPr>
      </w:pPr>
      <w:r w:rsidRPr="00D40192">
        <w:rPr>
          <w:rFonts w:ascii="Verdana" w:hAnsi="Verdana" w:cs="Arial"/>
          <w:sz w:val="20"/>
          <w:szCs w:val="20"/>
        </w:rPr>
        <w:t>Cualquier otro ingreso a favor del tipo de fondo o portafolio</w:t>
      </w:r>
    </w:p>
    <w:p w14:paraId="67BBACF0" w14:textId="77777777" w:rsidR="003C4A4D" w:rsidRPr="00D40192" w:rsidRDefault="003C4A4D" w:rsidP="003C4A4D">
      <w:pPr>
        <w:spacing w:after="0" w:line="240" w:lineRule="auto"/>
        <w:jc w:val="both"/>
        <w:rPr>
          <w:rFonts w:ascii="Verdana" w:hAnsi="Verdana" w:cs="Arial"/>
          <w:sz w:val="20"/>
          <w:szCs w:val="20"/>
        </w:rPr>
      </w:pPr>
    </w:p>
    <w:p w14:paraId="2D072AAF" w14:textId="1795C538" w:rsidR="0060639E" w:rsidRPr="00D40192" w:rsidRDefault="0060639E" w:rsidP="003C4A4D">
      <w:pPr>
        <w:pStyle w:val="Prrafodelista"/>
        <w:numPr>
          <w:ilvl w:val="0"/>
          <w:numId w:val="25"/>
        </w:numPr>
        <w:spacing w:after="0" w:line="240" w:lineRule="auto"/>
        <w:ind w:left="284" w:hanging="284"/>
        <w:jc w:val="both"/>
        <w:rPr>
          <w:rFonts w:ascii="Verdana" w:hAnsi="Verdana" w:cs="Arial"/>
          <w:b/>
          <w:bCs/>
          <w:sz w:val="20"/>
          <w:szCs w:val="20"/>
        </w:rPr>
      </w:pPr>
      <w:r w:rsidRPr="00D40192">
        <w:rPr>
          <w:rFonts w:ascii="Verdana" w:hAnsi="Verdana" w:cs="Arial"/>
          <w:b/>
          <w:bCs/>
          <w:sz w:val="20"/>
          <w:szCs w:val="20"/>
        </w:rPr>
        <w:t>Gastos (GTS)</w:t>
      </w:r>
    </w:p>
    <w:p w14:paraId="6CED2278" w14:textId="77777777" w:rsidR="003C4A4D" w:rsidRPr="00D40192" w:rsidRDefault="003C4A4D" w:rsidP="003C4A4D">
      <w:pPr>
        <w:tabs>
          <w:tab w:val="left" w:pos="540"/>
        </w:tabs>
        <w:spacing w:after="0" w:line="240" w:lineRule="auto"/>
        <w:jc w:val="both"/>
        <w:rPr>
          <w:rFonts w:ascii="Verdana" w:hAnsi="Verdana" w:cs="Arial"/>
          <w:sz w:val="20"/>
          <w:szCs w:val="20"/>
        </w:rPr>
      </w:pPr>
    </w:p>
    <w:p w14:paraId="3F6B27F8" w14:textId="5E3AEB24" w:rsidR="003C4A4D" w:rsidRPr="00D40192" w:rsidRDefault="00855EEC" w:rsidP="003C4A4D">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3C4A4D" w:rsidRPr="00D40192">
        <w:rPr>
          <w:rFonts w:ascii="Verdana" w:hAnsi="Verdana" w:cs="Arial"/>
          <w:bCs/>
          <w:sz w:val="20"/>
          <w:szCs w:val="20"/>
        </w:rPr>
        <w:t>1.</w:t>
      </w:r>
      <w:r w:rsidR="00940C50" w:rsidRPr="00D40192">
        <w:rPr>
          <w:rFonts w:ascii="Verdana" w:hAnsi="Verdana" w:cs="Arial"/>
          <w:bCs/>
          <w:sz w:val="20"/>
          <w:szCs w:val="20"/>
        </w:rPr>
        <w:t>6</w:t>
      </w:r>
      <w:r w:rsidR="003C4A4D" w:rsidRPr="00D40192">
        <w:rPr>
          <w:rFonts w:ascii="Verdana" w:hAnsi="Verdana" w:cs="Arial"/>
          <w:bCs/>
          <w:sz w:val="20"/>
          <w:szCs w:val="20"/>
        </w:rPr>
        <w:t>.</w:t>
      </w:r>
    </w:p>
    <w:p w14:paraId="0CE923C6" w14:textId="03C50B08" w:rsidR="003C4A4D" w:rsidRPr="00D40192" w:rsidRDefault="003C4A4D" w:rsidP="003C4A4D">
      <w:pPr>
        <w:spacing w:after="0" w:line="240" w:lineRule="auto"/>
        <w:jc w:val="both"/>
        <w:rPr>
          <w:rFonts w:ascii="Verdana" w:hAnsi="Verdana" w:cs="Arial"/>
          <w:sz w:val="20"/>
          <w:szCs w:val="20"/>
        </w:rPr>
      </w:pPr>
      <w:r w:rsidRPr="00D40192">
        <w:rPr>
          <w:rFonts w:ascii="Verdana" w:hAnsi="Verdana" w:cs="Arial"/>
          <w:sz w:val="20"/>
          <w:szCs w:val="20"/>
        </w:rPr>
        <w:t>Los siguientes rubros se computan como gastos:</w:t>
      </w:r>
    </w:p>
    <w:p w14:paraId="2DED9BCA" w14:textId="77777777" w:rsidR="003C4A4D" w:rsidRPr="00D40192" w:rsidRDefault="003C4A4D" w:rsidP="003C4A4D">
      <w:pPr>
        <w:spacing w:after="0" w:line="240" w:lineRule="auto"/>
        <w:jc w:val="both"/>
        <w:rPr>
          <w:rFonts w:ascii="Verdana" w:hAnsi="Verdana" w:cs="Arial"/>
          <w:sz w:val="20"/>
          <w:szCs w:val="20"/>
        </w:rPr>
      </w:pPr>
    </w:p>
    <w:p w14:paraId="5CFC5736" w14:textId="6A978684" w:rsidR="00186143" w:rsidRPr="00D40192" w:rsidRDefault="0060639E" w:rsidP="00186143">
      <w:pPr>
        <w:pStyle w:val="Prrafodelista"/>
        <w:numPr>
          <w:ilvl w:val="0"/>
          <w:numId w:val="26"/>
        </w:numPr>
        <w:spacing w:after="0" w:line="240" w:lineRule="auto"/>
        <w:ind w:left="567" w:hanging="567"/>
        <w:jc w:val="both"/>
        <w:rPr>
          <w:rFonts w:ascii="Verdana" w:hAnsi="Verdana" w:cs="Arial"/>
          <w:sz w:val="20"/>
          <w:szCs w:val="20"/>
        </w:rPr>
      </w:pPr>
      <w:r w:rsidRPr="00D40192">
        <w:rPr>
          <w:rFonts w:ascii="Verdana" w:hAnsi="Verdana" w:cs="Arial"/>
          <w:sz w:val="20"/>
          <w:szCs w:val="20"/>
        </w:rPr>
        <w:t xml:space="preserve">Tratándose de los tipos de fondos de pensiones obligatorias, los establecidos en el numeral 2.1 del </w:t>
      </w:r>
      <w:r w:rsidR="00D40192" w:rsidRPr="00D40192">
        <w:rPr>
          <w:rFonts w:ascii="Verdana" w:hAnsi="Verdana" w:cs="Arial"/>
          <w:sz w:val="20"/>
          <w:szCs w:val="20"/>
        </w:rPr>
        <w:t>c</w:t>
      </w:r>
      <w:r w:rsidRPr="00D40192">
        <w:rPr>
          <w:rFonts w:ascii="Verdana" w:hAnsi="Verdana" w:cs="Arial"/>
          <w:sz w:val="20"/>
          <w:szCs w:val="20"/>
        </w:rPr>
        <w:t xml:space="preserve">apítulo II del </w:t>
      </w:r>
      <w:r w:rsidR="00D40192" w:rsidRPr="00D40192">
        <w:rPr>
          <w:rFonts w:ascii="Verdana" w:hAnsi="Verdana" w:cs="Arial"/>
          <w:sz w:val="20"/>
          <w:szCs w:val="20"/>
        </w:rPr>
        <w:t>t</w:t>
      </w:r>
      <w:r w:rsidRPr="00D40192">
        <w:rPr>
          <w:rFonts w:ascii="Verdana" w:hAnsi="Verdana" w:cs="Arial"/>
          <w:sz w:val="20"/>
          <w:szCs w:val="20"/>
        </w:rPr>
        <w:t xml:space="preserve">ítulo III de la </w:t>
      </w:r>
      <w:r w:rsidR="00D40192" w:rsidRPr="00D40192">
        <w:rPr>
          <w:rFonts w:ascii="Verdana" w:hAnsi="Verdana" w:cs="Arial"/>
          <w:sz w:val="20"/>
          <w:szCs w:val="20"/>
        </w:rPr>
        <w:t>p</w:t>
      </w:r>
      <w:r w:rsidRPr="00D40192">
        <w:rPr>
          <w:rFonts w:ascii="Verdana" w:hAnsi="Verdana" w:cs="Arial"/>
          <w:sz w:val="20"/>
          <w:szCs w:val="20"/>
        </w:rPr>
        <w:t>arte II de la Circular Básica Jurídica</w:t>
      </w:r>
      <w:r w:rsidR="00A243A2">
        <w:rPr>
          <w:rFonts w:ascii="Verdana" w:hAnsi="Verdana" w:cs="Arial"/>
          <w:sz w:val="20"/>
          <w:szCs w:val="20"/>
        </w:rPr>
        <w:t xml:space="preserve"> (CBJ)</w:t>
      </w:r>
      <w:r w:rsidRPr="00D40192">
        <w:rPr>
          <w:rFonts w:ascii="Verdana" w:hAnsi="Verdana" w:cs="Arial"/>
          <w:sz w:val="20"/>
          <w:szCs w:val="20"/>
        </w:rPr>
        <w:t>.</w:t>
      </w:r>
    </w:p>
    <w:p w14:paraId="48536E37" w14:textId="77777777" w:rsidR="00186143" w:rsidRPr="00D40192" w:rsidRDefault="00186143" w:rsidP="00186143">
      <w:pPr>
        <w:pStyle w:val="Prrafodelista"/>
        <w:spacing w:after="0" w:line="240" w:lineRule="auto"/>
        <w:ind w:left="567"/>
        <w:jc w:val="both"/>
        <w:rPr>
          <w:rFonts w:ascii="Verdana" w:hAnsi="Verdana" w:cs="Arial"/>
          <w:sz w:val="20"/>
          <w:szCs w:val="20"/>
        </w:rPr>
      </w:pPr>
    </w:p>
    <w:p w14:paraId="0F10088C" w14:textId="45781686" w:rsidR="00186143" w:rsidRPr="00D40192" w:rsidRDefault="0060639E" w:rsidP="00186143">
      <w:pPr>
        <w:pStyle w:val="Prrafodelista"/>
        <w:numPr>
          <w:ilvl w:val="0"/>
          <w:numId w:val="26"/>
        </w:numPr>
        <w:spacing w:after="0" w:line="240" w:lineRule="auto"/>
        <w:ind w:left="567" w:hanging="567"/>
        <w:jc w:val="both"/>
        <w:rPr>
          <w:rFonts w:ascii="Verdana" w:hAnsi="Verdana" w:cs="Arial"/>
          <w:sz w:val="20"/>
          <w:szCs w:val="20"/>
        </w:rPr>
      </w:pPr>
      <w:r w:rsidRPr="00D40192">
        <w:rPr>
          <w:rFonts w:ascii="Verdana" w:hAnsi="Verdana" w:cs="Arial"/>
          <w:sz w:val="20"/>
          <w:szCs w:val="20"/>
        </w:rPr>
        <w:t xml:space="preserve">En el caso de los portafolios de corto y largo plazo de los fondos de cesantía, los establecidos en el numeral 1.2 del </w:t>
      </w:r>
      <w:r w:rsidR="00D40192" w:rsidRPr="00D40192">
        <w:rPr>
          <w:rFonts w:ascii="Verdana" w:hAnsi="Verdana" w:cs="Arial"/>
          <w:sz w:val="20"/>
          <w:szCs w:val="20"/>
        </w:rPr>
        <w:t>c</w:t>
      </w:r>
      <w:r w:rsidRPr="00D40192">
        <w:rPr>
          <w:rFonts w:ascii="Verdana" w:hAnsi="Verdana" w:cs="Arial"/>
          <w:sz w:val="20"/>
          <w:szCs w:val="20"/>
        </w:rPr>
        <w:t xml:space="preserve">apítulo III del </w:t>
      </w:r>
      <w:r w:rsidR="00D40192" w:rsidRPr="00D40192">
        <w:rPr>
          <w:rFonts w:ascii="Verdana" w:hAnsi="Verdana" w:cs="Arial"/>
          <w:sz w:val="20"/>
          <w:szCs w:val="20"/>
        </w:rPr>
        <w:t>t</w:t>
      </w:r>
      <w:r w:rsidRPr="00D40192">
        <w:rPr>
          <w:rFonts w:ascii="Verdana" w:hAnsi="Verdana" w:cs="Arial"/>
          <w:sz w:val="20"/>
          <w:szCs w:val="20"/>
        </w:rPr>
        <w:t xml:space="preserve">ítulo III de la </w:t>
      </w:r>
      <w:r w:rsidR="00D40192" w:rsidRPr="00D40192">
        <w:rPr>
          <w:rFonts w:ascii="Verdana" w:hAnsi="Verdana" w:cs="Arial"/>
          <w:sz w:val="20"/>
          <w:szCs w:val="20"/>
        </w:rPr>
        <w:t>p</w:t>
      </w:r>
      <w:r w:rsidRPr="00D40192">
        <w:rPr>
          <w:rFonts w:ascii="Verdana" w:hAnsi="Verdana" w:cs="Arial"/>
          <w:sz w:val="20"/>
          <w:szCs w:val="20"/>
        </w:rPr>
        <w:t>arte II de la C</w:t>
      </w:r>
      <w:r w:rsidR="00A243A2">
        <w:rPr>
          <w:rFonts w:ascii="Verdana" w:hAnsi="Verdana" w:cs="Arial"/>
          <w:sz w:val="20"/>
          <w:szCs w:val="20"/>
        </w:rPr>
        <w:t>BJ</w:t>
      </w:r>
      <w:r w:rsidRPr="00D40192">
        <w:rPr>
          <w:rFonts w:ascii="Verdana" w:hAnsi="Verdana" w:cs="Arial"/>
          <w:sz w:val="20"/>
          <w:szCs w:val="20"/>
        </w:rPr>
        <w:t>.</w:t>
      </w:r>
    </w:p>
    <w:p w14:paraId="752493DC" w14:textId="77777777" w:rsidR="00186143" w:rsidRPr="00D40192" w:rsidRDefault="00186143" w:rsidP="00186143">
      <w:pPr>
        <w:pStyle w:val="Prrafodelista"/>
        <w:rPr>
          <w:rFonts w:ascii="Verdana" w:hAnsi="Verdana" w:cs="Arial"/>
          <w:sz w:val="20"/>
          <w:szCs w:val="20"/>
        </w:rPr>
      </w:pPr>
    </w:p>
    <w:p w14:paraId="1FFBA6BB" w14:textId="5528F4DF" w:rsidR="0060639E" w:rsidRPr="00D40192" w:rsidRDefault="0060639E" w:rsidP="00072835">
      <w:pPr>
        <w:pStyle w:val="Prrafodelista"/>
        <w:numPr>
          <w:ilvl w:val="0"/>
          <w:numId w:val="26"/>
        </w:numPr>
        <w:spacing w:after="0" w:line="240" w:lineRule="auto"/>
        <w:ind w:left="567" w:hanging="567"/>
        <w:jc w:val="both"/>
        <w:rPr>
          <w:rFonts w:ascii="Verdana" w:hAnsi="Verdana" w:cs="Arial"/>
          <w:sz w:val="20"/>
          <w:szCs w:val="20"/>
        </w:rPr>
      </w:pPr>
      <w:r w:rsidRPr="00D40192">
        <w:rPr>
          <w:rFonts w:ascii="Verdana" w:hAnsi="Verdana" w:cs="Arial"/>
          <w:sz w:val="20"/>
          <w:szCs w:val="20"/>
        </w:rPr>
        <w:t xml:space="preserve">Los pagos a comisionistas de bolsa o corredores de valores especializados en TES, que de acuerdo con el principio del costo se incluyan en el valor de compra de los títulos, no se contabilizarán como gastos. </w:t>
      </w:r>
    </w:p>
    <w:p w14:paraId="7D3D71ED" w14:textId="77777777" w:rsidR="00186143" w:rsidRPr="00D40192" w:rsidRDefault="00186143" w:rsidP="00186143">
      <w:pPr>
        <w:spacing w:after="0" w:line="240" w:lineRule="auto"/>
        <w:jc w:val="both"/>
        <w:rPr>
          <w:rFonts w:ascii="Verdana" w:hAnsi="Verdana" w:cs="Arial"/>
          <w:sz w:val="20"/>
          <w:szCs w:val="20"/>
        </w:rPr>
      </w:pPr>
    </w:p>
    <w:p w14:paraId="6AEC1969" w14:textId="7983727C" w:rsidR="00A77FC1" w:rsidRPr="00D40192" w:rsidRDefault="00855EEC" w:rsidP="00A77FC1">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A77FC1" w:rsidRPr="00D40192">
        <w:rPr>
          <w:rFonts w:ascii="Verdana" w:hAnsi="Verdana" w:cs="Arial"/>
          <w:bCs/>
          <w:sz w:val="20"/>
          <w:szCs w:val="20"/>
        </w:rPr>
        <w:t>1.</w:t>
      </w:r>
      <w:r w:rsidR="00940C50" w:rsidRPr="00D40192">
        <w:rPr>
          <w:rFonts w:ascii="Verdana" w:hAnsi="Verdana" w:cs="Arial"/>
          <w:bCs/>
          <w:sz w:val="20"/>
          <w:szCs w:val="20"/>
        </w:rPr>
        <w:t>7</w:t>
      </w:r>
      <w:r w:rsidR="00A77FC1" w:rsidRPr="00D40192">
        <w:rPr>
          <w:rFonts w:ascii="Verdana" w:hAnsi="Verdana" w:cs="Arial"/>
          <w:bCs/>
          <w:sz w:val="20"/>
          <w:szCs w:val="20"/>
        </w:rPr>
        <w:t>.</w:t>
      </w:r>
    </w:p>
    <w:p w14:paraId="1438247C" w14:textId="711E4FBB" w:rsidR="0060639E" w:rsidRPr="00D40192" w:rsidRDefault="0060639E" w:rsidP="00072835">
      <w:pPr>
        <w:jc w:val="both"/>
        <w:rPr>
          <w:rFonts w:ascii="Verdana" w:hAnsi="Verdana" w:cs="Arial"/>
          <w:sz w:val="20"/>
          <w:szCs w:val="20"/>
        </w:rPr>
      </w:pPr>
      <w:r w:rsidRPr="00D40192">
        <w:rPr>
          <w:rFonts w:ascii="Verdana" w:hAnsi="Verdana" w:cs="Arial"/>
          <w:sz w:val="20"/>
          <w:szCs w:val="20"/>
        </w:rPr>
        <w:t>En consecuencia, el valor del tipo de fondo o portafolio al cierre del día t incluidos los rendimientos es:</w:t>
      </w:r>
    </w:p>
    <w:p w14:paraId="279D624D" w14:textId="4D126801" w:rsidR="00DD0D9F" w:rsidRPr="00D40192" w:rsidRDefault="00DD0D9F" w:rsidP="00072835">
      <w:pPr>
        <w:jc w:val="center"/>
        <w:rPr>
          <w:rFonts w:ascii="Verdana" w:hAnsi="Verdana" w:cs="Arial"/>
          <w:sz w:val="20"/>
          <w:szCs w:val="20"/>
        </w:rPr>
      </w:pPr>
      <m:oMathPara>
        <m:oMath>
          <m:r>
            <w:rPr>
              <w:rFonts w:ascii="Cambria Math" w:hAnsi="Cambria Math" w:cs="Arial"/>
              <w:sz w:val="20"/>
              <w:szCs w:val="20"/>
            </w:rPr>
            <m:t>VFCR(t)=VFC</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+ING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-GTS(t)</m:t>
          </m:r>
        </m:oMath>
      </m:oMathPara>
    </w:p>
    <w:p w14:paraId="3DB8634C" w14:textId="03D3B914" w:rsidR="007E0EE1" w:rsidRPr="00D40192" w:rsidRDefault="00D40192" w:rsidP="007E0EE1">
      <w:pPr>
        <w:jc w:val="both"/>
        <w:rPr>
          <w:rFonts w:ascii="Verdana" w:hAnsi="Verdana" w:cs="Arial"/>
          <w:sz w:val="20"/>
          <w:szCs w:val="20"/>
        </w:rPr>
      </w:pPr>
      <w:r w:rsidRPr="00D40192">
        <w:rPr>
          <w:rFonts w:ascii="Verdana" w:hAnsi="Verdana" w:cs="Arial"/>
          <w:sz w:val="20"/>
          <w:szCs w:val="20"/>
        </w:rPr>
        <w:t>Donde:</w:t>
      </w:r>
    </w:p>
    <w:p w14:paraId="3C514D6E" w14:textId="41CCEA22" w:rsidR="0060639E" w:rsidRPr="00D40192" w:rsidRDefault="007E0EE1" w:rsidP="007E0EE1">
      <w:pPr>
        <w:jc w:val="both"/>
        <w:rPr>
          <w:rFonts w:ascii="Verdana" w:hAnsi="Verdana" w:cs="Arial"/>
          <w:sz w:val="20"/>
          <w:szCs w:val="20"/>
        </w:rPr>
      </w:pPr>
      <m:oMath>
        <m:r>
          <w:rPr>
            <w:rFonts w:ascii="Cambria Math" w:hAnsi="Cambria Math" w:cs="Arial"/>
            <w:sz w:val="20"/>
            <w:szCs w:val="20"/>
          </w:rPr>
          <m:t>VFCR</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m:t>
        </m:r>
      </m:oMath>
      <w:r w:rsidRPr="20CC3765">
        <w:rPr>
          <w:rFonts w:ascii="Verdana" w:hAnsi="Verdana" w:cs="Arial"/>
          <w:i/>
          <w:iCs/>
          <w:sz w:val="20"/>
          <w:szCs w:val="20"/>
        </w:rPr>
        <w:t xml:space="preserve"> </w:t>
      </w:r>
      <w:r w:rsidRPr="20CC3765">
        <w:rPr>
          <w:rFonts w:ascii="Verdana" w:hAnsi="Verdana" w:cs="Arial"/>
          <w:sz w:val="20"/>
          <w:szCs w:val="20"/>
        </w:rPr>
        <w:t>es el</w:t>
      </w:r>
      <w:r w:rsidRPr="20CC3765">
        <w:rPr>
          <w:rFonts w:ascii="Verdana" w:hAnsi="Verdana" w:cs="Arial"/>
          <w:i/>
          <w:iCs/>
          <w:sz w:val="20"/>
          <w:szCs w:val="20"/>
        </w:rPr>
        <w:t xml:space="preserve"> </w:t>
      </w:r>
      <w:r w:rsidRPr="00D40192">
        <w:rPr>
          <w:rFonts w:ascii="Verdana" w:hAnsi="Verdana" w:cs="Arial"/>
          <w:sz w:val="20"/>
          <w:szCs w:val="20"/>
        </w:rPr>
        <w:t>v</w:t>
      </w:r>
      <w:r w:rsidR="0060639E" w:rsidRPr="00D40192">
        <w:rPr>
          <w:rFonts w:ascii="Verdana" w:hAnsi="Verdana" w:cs="Arial"/>
          <w:sz w:val="20"/>
          <w:szCs w:val="20"/>
        </w:rPr>
        <w:t>alor del tipo de fondo o portafolio al cierre del día t incluidos</w:t>
      </w:r>
      <w:r w:rsidR="003D21FB" w:rsidRPr="00D40192">
        <w:rPr>
          <w:rFonts w:ascii="Verdana" w:hAnsi="Verdana" w:cs="Arial"/>
          <w:sz w:val="20"/>
          <w:szCs w:val="20"/>
        </w:rPr>
        <w:t xml:space="preserve"> </w:t>
      </w:r>
      <w:r w:rsidR="0060639E" w:rsidRPr="00D40192">
        <w:rPr>
          <w:rFonts w:ascii="Verdana" w:hAnsi="Verdana" w:cs="Arial"/>
          <w:sz w:val="20"/>
          <w:szCs w:val="20"/>
        </w:rPr>
        <w:t>los rendimientos, es</w:t>
      </w:r>
      <w:r w:rsidR="2ABFB28D" w:rsidRPr="00D40192">
        <w:rPr>
          <w:rFonts w:ascii="Verdana" w:hAnsi="Verdana" w:cs="Arial"/>
          <w:sz w:val="20"/>
          <w:szCs w:val="20"/>
        </w:rPr>
        <w:t xml:space="preserve"> </w:t>
      </w:r>
      <w:r w:rsidR="0060639E" w:rsidRPr="00D40192">
        <w:rPr>
          <w:rFonts w:ascii="Verdana" w:hAnsi="Verdana" w:cs="Arial"/>
          <w:sz w:val="20"/>
          <w:szCs w:val="20"/>
        </w:rPr>
        <w:t xml:space="preserve">decir, valor al inicio de operaciones del día </w:t>
      </w:r>
      <w:r w:rsidR="0060639E" w:rsidRPr="20CC3765">
        <w:rPr>
          <w:rFonts w:ascii="Verdana" w:hAnsi="Verdana" w:cs="Arial"/>
          <w:i/>
          <w:iCs/>
          <w:sz w:val="20"/>
          <w:szCs w:val="20"/>
        </w:rPr>
        <w:t>t</w:t>
      </w:r>
      <w:r w:rsidR="0060639E" w:rsidRPr="00D40192">
        <w:rPr>
          <w:rFonts w:ascii="Verdana" w:hAnsi="Verdana" w:cs="Arial"/>
          <w:sz w:val="20"/>
          <w:szCs w:val="20"/>
        </w:rPr>
        <w:t>+1</w:t>
      </w:r>
    </w:p>
    <w:p w14:paraId="22D54F05" w14:textId="4D50DA09" w:rsidR="0060639E" w:rsidRPr="00D40192" w:rsidRDefault="007E0EE1" w:rsidP="007E0EE1">
      <w:pPr>
        <w:jc w:val="both"/>
        <w:rPr>
          <w:rFonts w:ascii="Verdana" w:hAnsi="Verdana" w:cs="Arial"/>
          <w:sz w:val="20"/>
          <w:szCs w:val="20"/>
        </w:rPr>
      </w:pPr>
      <m:oMath>
        <m:r>
          <w:rPr>
            <w:rFonts w:ascii="Cambria Math" w:hAnsi="Cambria Math" w:cs="Arial"/>
            <w:sz w:val="20"/>
            <w:szCs w:val="20"/>
          </w:rPr>
          <m:t>VFC</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 </m:t>
        </m:r>
      </m:oMath>
      <w:r w:rsidRPr="00D40192">
        <w:rPr>
          <w:rFonts w:ascii="Verdana" w:eastAsiaTheme="minorEastAsia" w:hAnsi="Verdana" w:cs="Arial"/>
          <w:sz w:val="20"/>
          <w:szCs w:val="20"/>
        </w:rPr>
        <w:t xml:space="preserve">: es el </w:t>
      </w:r>
      <w:r w:rsidRPr="00D40192">
        <w:rPr>
          <w:rFonts w:ascii="Verdana" w:hAnsi="Verdana" w:cs="Arial"/>
          <w:sz w:val="20"/>
          <w:szCs w:val="20"/>
        </w:rPr>
        <w:t>v</w:t>
      </w:r>
      <w:r w:rsidR="0060639E" w:rsidRPr="00D40192">
        <w:rPr>
          <w:rFonts w:ascii="Verdana" w:hAnsi="Verdana" w:cs="Arial"/>
          <w:sz w:val="20"/>
          <w:szCs w:val="20"/>
        </w:rPr>
        <w:t xml:space="preserve">alor del tipo de fondo o del portafolio al cierre del día </w:t>
      </w:r>
      <w:r w:rsidR="0060639E" w:rsidRPr="00D40192">
        <w:rPr>
          <w:rFonts w:ascii="Verdana" w:hAnsi="Verdana" w:cs="Arial"/>
          <w:i/>
          <w:sz w:val="20"/>
          <w:szCs w:val="20"/>
        </w:rPr>
        <w:t>t</w:t>
      </w:r>
      <w:r w:rsidR="0060639E" w:rsidRPr="00D40192">
        <w:rPr>
          <w:rFonts w:ascii="Verdana" w:hAnsi="Verdana" w:cs="Arial"/>
          <w:sz w:val="20"/>
          <w:szCs w:val="20"/>
        </w:rPr>
        <w:t xml:space="preserve"> – antes de rendimientos</w:t>
      </w:r>
    </w:p>
    <w:p w14:paraId="35D1E649" w14:textId="0470DD81" w:rsidR="0060639E" w:rsidRPr="00D40192" w:rsidRDefault="007E0EE1" w:rsidP="003714AE">
      <w:pPr>
        <w:ind w:left="1276" w:hanging="1276"/>
        <w:jc w:val="both"/>
        <w:rPr>
          <w:rFonts w:ascii="Verdana" w:hAnsi="Verdana" w:cs="Arial"/>
          <w:sz w:val="20"/>
          <w:szCs w:val="20"/>
        </w:rPr>
      </w:pPr>
      <m:oMath>
        <m:r>
          <w:rPr>
            <w:rFonts w:ascii="Cambria Math" w:hAnsi="Cambria Math" w:cs="Arial"/>
            <w:sz w:val="20"/>
            <w:szCs w:val="20"/>
          </w:rPr>
          <m:t>ING</m:t>
        </m:r>
        <m:d>
          <m:dPr>
            <m:ctrlPr>
              <w:rPr>
                <w:rFonts w:ascii="Cambria Math" w:hAnsi="Cambria Math" w:cs="Arial"/>
                <w:i/>
                <w:sz w:val="20"/>
                <w:szCs w:val="20"/>
              </w:rPr>
            </m:ctrlPr>
          </m:dPr>
          <m:e>
            <m:r>
              <w:rPr>
                <w:rFonts w:ascii="Cambria Math" w:hAnsi="Cambria Math" w:cs="Arial"/>
                <w:sz w:val="20"/>
                <w:szCs w:val="20"/>
              </w:rPr>
              <m:t>t</m:t>
            </m:r>
          </m:e>
        </m:d>
        <m:r>
          <w:rPr>
            <w:rFonts w:ascii="Cambria Math" w:hAnsi="Cambria Math" w:cs="Arial"/>
            <w:sz w:val="20"/>
            <w:szCs w:val="20"/>
          </w:rPr>
          <m:t> </m:t>
        </m:r>
      </m:oMath>
      <w:r w:rsidRPr="20CC3765">
        <w:rPr>
          <w:rFonts w:ascii="Verdana" w:eastAsiaTheme="minorEastAsia" w:hAnsi="Verdana" w:cs="Arial"/>
          <w:sz w:val="20"/>
          <w:szCs w:val="20"/>
        </w:rPr>
        <w:t>: son</w:t>
      </w:r>
      <w:r w:rsidR="1D846278" w:rsidRPr="20CC3765">
        <w:rPr>
          <w:rFonts w:ascii="Verdana" w:eastAsiaTheme="minorEastAsia" w:hAnsi="Verdana" w:cs="Arial"/>
          <w:sz w:val="20"/>
          <w:szCs w:val="20"/>
        </w:rPr>
        <w:t xml:space="preserve"> </w:t>
      </w:r>
      <w:r w:rsidRPr="00D40192">
        <w:rPr>
          <w:rFonts w:ascii="Verdana" w:hAnsi="Verdana" w:cs="Arial"/>
          <w:sz w:val="20"/>
          <w:szCs w:val="20"/>
        </w:rPr>
        <w:t>los</w:t>
      </w:r>
      <w:r w:rsidR="005573F3" w:rsidRPr="00D40192">
        <w:rPr>
          <w:rFonts w:ascii="Verdana" w:hAnsi="Verdana" w:cs="Arial"/>
          <w:sz w:val="20"/>
          <w:szCs w:val="20"/>
        </w:rPr>
        <w:t xml:space="preserve"> i</w:t>
      </w:r>
      <w:r w:rsidR="0060639E" w:rsidRPr="00D40192">
        <w:rPr>
          <w:rFonts w:ascii="Verdana" w:hAnsi="Verdana" w:cs="Arial"/>
          <w:sz w:val="20"/>
          <w:szCs w:val="20"/>
        </w:rPr>
        <w:t xml:space="preserve">ngresos del tipo de fondo o del portafolio en el día </w:t>
      </w:r>
      <w:r w:rsidR="0060639E" w:rsidRPr="20CC3765">
        <w:rPr>
          <w:rFonts w:ascii="Verdana" w:hAnsi="Verdana" w:cs="Arial"/>
          <w:i/>
          <w:iCs/>
          <w:sz w:val="20"/>
          <w:szCs w:val="20"/>
        </w:rPr>
        <w:t>t</w:t>
      </w:r>
    </w:p>
    <w:p w14:paraId="222FB41B" w14:textId="77777777" w:rsidR="00BA02C0" w:rsidRPr="00D40192" w:rsidRDefault="005573F3" w:rsidP="00BA02C0">
      <w:pPr>
        <w:ind w:left="1276" w:hanging="1276"/>
        <w:jc w:val="both"/>
        <w:rPr>
          <w:rFonts w:ascii="Verdana" w:hAnsi="Verdana" w:cs="Arial"/>
          <w:sz w:val="20"/>
          <w:szCs w:val="20"/>
        </w:rPr>
      </w:pPr>
      <m:oMath>
        <m:r>
          <w:rPr>
            <w:rFonts w:ascii="Cambria Math" w:hAnsi="Cambria Math" w:cs="Arial"/>
            <w:sz w:val="20"/>
            <w:szCs w:val="20"/>
          </w:rPr>
          <m:t>GTS(t) </m:t>
        </m:r>
      </m:oMath>
      <w:r w:rsidRPr="00D40192">
        <w:rPr>
          <w:rFonts w:ascii="Verdana" w:eastAsiaTheme="minorEastAsia" w:hAnsi="Verdana" w:cs="Arial"/>
          <w:sz w:val="20"/>
          <w:szCs w:val="20"/>
        </w:rPr>
        <w:t xml:space="preserve">: son los </w:t>
      </w:r>
      <w:r w:rsidRPr="00D40192">
        <w:rPr>
          <w:rFonts w:ascii="Verdana" w:hAnsi="Verdana" w:cs="Arial"/>
          <w:sz w:val="20"/>
          <w:szCs w:val="20"/>
        </w:rPr>
        <w:t>g</w:t>
      </w:r>
      <w:r w:rsidR="0060639E" w:rsidRPr="00D40192">
        <w:rPr>
          <w:rFonts w:ascii="Verdana" w:hAnsi="Verdana" w:cs="Arial"/>
          <w:sz w:val="20"/>
          <w:szCs w:val="20"/>
        </w:rPr>
        <w:t xml:space="preserve">astos del tipo de fondo o del portafolio en el día </w:t>
      </w:r>
      <w:r w:rsidR="0060639E" w:rsidRPr="00D40192">
        <w:rPr>
          <w:rFonts w:ascii="Verdana" w:hAnsi="Verdana" w:cs="Arial"/>
          <w:i/>
          <w:sz w:val="20"/>
          <w:szCs w:val="20"/>
        </w:rPr>
        <w:t>t</w:t>
      </w:r>
    </w:p>
    <w:p w14:paraId="240E4457" w14:textId="6A2504AF" w:rsidR="00BA02C0" w:rsidRPr="00D40192" w:rsidRDefault="005573F3" w:rsidP="00BA02C0">
      <w:pPr>
        <w:ind w:left="1276" w:hanging="1276"/>
        <w:jc w:val="both"/>
        <w:rPr>
          <w:rFonts w:ascii="Verdana" w:hAnsi="Verdana" w:cs="Arial"/>
          <w:sz w:val="20"/>
          <w:szCs w:val="20"/>
        </w:rPr>
      </w:pPr>
      <w:r w:rsidRPr="00D40192">
        <w:rPr>
          <w:rFonts w:ascii="Verdana" w:hAnsi="Verdana" w:cs="Arial"/>
          <w:b/>
          <w:sz w:val="20"/>
          <w:szCs w:val="20"/>
        </w:rPr>
        <w:t xml:space="preserve">Valor de la unidad para </w:t>
      </w:r>
      <w:r w:rsidR="00BA02C0" w:rsidRPr="00D40192">
        <w:rPr>
          <w:rFonts w:ascii="Verdana" w:hAnsi="Verdana" w:cs="Arial"/>
          <w:b/>
          <w:sz w:val="20"/>
          <w:szCs w:val="20"/>
        </w:rPr>
        <w:t>el cierre</w:t>
      </w:r>
    </w:p>
    <w:p w14:paraId="51571C50" w14:textId="25C45ABE" w:rsidR="004A4717" w:rsidRPr="00D40192" w:rsidRDefault="00855EEC" w:rsidP="004A4717">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4A4717" w:rsidRPr="00D40192">
        <w:rPr>
          <w:rFonts w:ascii="Verdana" w:hAnsi="Verdana" w:cs="Arial"/>
          <w:bCs/>
          <w:sz w:val="20"/>
          <w:szCs w:val="20"/>
        </w:rPr>
        <w:t>1.</w:t>
      </w:r>
      <w:r w:rsidR="00940C50" w:rsidRPr="00D40192">
        <w:rPr>
          <w:rFonts w:ascii="Verdana" w:hAnsi="Verdana" w:cs="Arial"/>
          <w:bCs/>
          <w:sz w:val="20"/>
          <w:szCs w:val="20"/>
        </w:rPr>
        <w:t>8</w:t>
      </w:r>
      <w:r w:rsidR="004A4717" w:rsidRPr="00D40192">
        <w:rPr>
          <w:rFonts w:ascii="Verdana" w:hAnsi="Verdana" w:cs="Arial"/>
          <w:bCs/>
          <w:sz w:val="20"/>
          <w:szCs w:val="20"/>
        </w:rPr>
        <w:t>.</w:t>
      </w:r>
    </w:p>
    <w:p w14:paraId="4077E7F8" w14:textId="1B23E949" w:rsidR="0060639E" w:rsidRPr="00D40192" w:rsidRDefault="0060639E" w:rsidP="000123B7">
      <w:pPr>
        <w:tabs>
          <w:tab w:val="left" w:pos="540"/>
        </w:tabs>
        <w:spacing w:after="0" w:line="240" w:lineRule="auto"/>
        <w:jc w:val="both"/>
        <w:rPr>
          <w:rFonts w:ascii="Verdana" w:hAnsi="Verdana" w:cs="Arial"/>
          <w:bCs/>
          <w:sz w:val="20"/>
          <w:szCs w:val="20"/>
        </w:rPr>
      </w:pPr>
      <w:r w:rsidRPr="00D40192">
        <w:rPr>
          <w:rFonts w:ascii="Verdana" w:hAnsi="Verdana" w:cs="Arial"/>
          <w:bCs/>
          <w:sz w:val="20"/>
          <w:szCs w:val="20"/>
        </w:rPr>
        <w:t>El valor de la unidad del tipo de fondo o portafolio al cierre del día t se calcula como</w:t>
      </w:r>
      <w:r w:rsidR="006B7F30" w:rsidRPr="00D40192">
        <w:rPr>
          <w:rFonts w:ascii="Verdana" w:hAnsi="Verdana" w:cs="Arial"/>
          <w:bCs/>
          <w:sz w:val="20"/>
          <w:szCs w:val="20"/>
        </w:rPr>
        <w:t>:</w:t>
      </w:r>
      <w:r w:rsidRPr="00D40192">
        <w:rPr>
          <w:rFonts w:ascii="Verdana" w:hAnsi="Verdana" w:cs="Arial"/>
          <w:bCs/>
          <w:sz w:val="20"/>
          <w:szCs w:val="20"/>
        </w:rPr>
        <w:t xml:space="preserve"> </w:t>
      </w:r>
    </w:p>
    <w:p w14:paraId="67AE6D4E" w14:textId="1E463651" w:rsidR="0060639E" w:rsidRPr="00D40192" w:rsidRDefault="0060639E" w:rsidP="00072835">
      <w:pPr>
        <w:jc w:val="center"/>
        <w:rPr>
          <w:rFonts w:ascii="Verdana" w:hAnsi="Verdana" w:cs="Arial"/>
          <w:sz w:val="20"/>
          <w:szCs w:val="20"/>
        </w:rPr>
      </w:pPr>
    </w:p>
    <w:p w14:paraId="60788B40" w14:textId="3AEF2A74" w:rsidR="00887659" w:rsidRPr="00D40192" w:rsidRDefault="00887659" w:rsidP="00072835">
      <w:pPr>
        <w:jc w:val="center"/>
        <w:rPr>
          <w:rFonts w:ascii="Verdana" w:hAnsi="Verdana" w:cs="Arial"/>
          <w:sz w:val="20"/>
          <w:szCs w:val="20"/>
        </w:rPr>
      </w:pPr>
      <m:oMathPara>
        <m:oMath>
          <m:r>
            <w:rPr>
              <w:rFonts w:ascii="Cambria Math" w:hAnsi="Cambria Math" w:cs="Arial"/>
              <w:sz w:val="20"/>
              <w:szCs w:val="20"/>
            </w:rPr>
            <m:t>VUC(t)=</m:t>
          </m:r>
          <m:f>
            <m:fPr>
              <m:ctrlPr>
                <w:rPr>
                  <w:rFonts w:ascii="Cambria Math" w:hAnsi="Cambria Math" w:cs="Arial"/>
                  <w:i/>
                  <w:sz w:val="20"/>
                  <w:szCs w:val="20"/>
                </w:rPr>
              </m:ctrlPr>
            </m:fPr>
            <m:num>
              <m:r>
                <w:rPr>
                  <w:rFonts w:ascii="Cambria Math" w:hAnsi="Cambria Math" w:cs="Arial"/>
                  <w:sz w:val="20"/>
                  <w:szCs w:val="20"/>
                </w:rPr>
                <m:t>VFCR(t)</m:t>
              </m:r>
            </m:num>
            <m:den>
              <m:r>
                <w:rPr>
                  <w:rFonts w:ascii="Cambria Math" w:hAnsi="Cambria Math" w:cs="Arial"/>
                  <w:sz w:val="20"/>
                  <w:szCs w:val="20"/>
                </w:rPr>
                <m:t>NUC(t)</m:t>
              </m:r>
            </m:den>
          </m:f>
        </m:oMath>
      </m:oMathPara>
    </w:p>
    <w:p w14:paraId="1D05378F" w14:textId="77777777" w:rsidR="0060639E" w:rsidRPr="00D40192" w:rsidRDefault="0060639E" w:rsidP="00072835">
      <w:pPr>
        <w:jc w:val="both"/>
        <w:rPr>
          <w:rFonts w:ascii="Verdana" w:hAnsi="Verdana" w:cs="Arial"/>
          <w:bCs/>
          <w:sz w:val="20"/>
          <w:szCs w:val="20"/>
        </w:rPr>
      </w:pPr>
      <w:r w:rsidRPr="00D40192">
        <w:rPr>
          <w:rFonts w:ascii="Verdana" w:hAnsi="Verdana" w:cs="Arial"/>
          <w:bCs/>
          <w:sz w:val="20"/>
          <w:szCs w:val="20"/>
        </w:rPr>
        <w:t>Donde:</w:t>
      </w:r>
    </w:p>
    <w:p w14:paraId="365B0DE5" w14:textId="62D9478E" w:rsidR="0060639E" w:rsidRPr="00D40192" w:rsidRDefault="00BA02C0" w:rsidP="00072835">
      <w:pPr>
        <w:jc w:val="both"/>
        <w:rPr>
          <w:rFonts w:ascii="Verdana" w:hAnsi="Verdana" w:cs="Arial"/>
          <w:bCs/>
          <w:sz w:val="20"/>
          <w:szCs w:val="20"/>
        </w:rPr>
      </w:pPr>
      <m:oMath>
        <m:r>
          <w:rPr>
            <w:rFonts w:ascii="Cambria Math" w:hAnsi="Cambria Math" w:cs="Arial"/>
            <w:sz w:val="20"/>
            <w:szCs w:val="20"/>
          </w:rPr>
          <m:t>VUC(t)</m:t>
        </m:r>
      </m:oMath>
      <w:r w:rsidRPr="00D40192">
        <w:rPr>
          <w:rFonts w:ascii="Verdana" w:eastAsiaTheme="minorEastAsia" w:hAnsi="Verdana" w:cs="Arial"/>
          <w:sz w:val="20"/>
          <w:szCs w:val="20"/>
        </w:rPr>
        <w:t>: es el</w:t>
      </w:r>
      <w:r w:rsidRPr="00D40192">
        <w:rPr>
          <w:rFonts w:ascii="Verdana" w:hAnsi="Verdana" w:cs="Arial"/>
          <w:bCs/>
          <w:sz w:val="20"/>
          <w:szCs w:val="20"/>
        </w:rPr>
        <w:t xml:space="preserve"> v</w:t>
      </w:r>
      <w:r w:rsidR="0060639E" w:rsidRPr="00D40192">
        <w:rPr>
          <w:rFonts w:ascii="Verdana" w:hAnsi="Verdana" w:cs="Arial"/>
          <w:bCs/>
          <w:sz w:val="20"/>
          <w:szCs w:val="20"/>
        </w:rPr>
        <w:t xml:space="preserve">alor de la unidad del tipo de fondo o portafolio al cierre del día </w:t>
      </w:r>
      <w:r w:rsidR="0060639E" w:rsidRPr="00D40192">
        <w:rPr>
          <w:rFonts w:ascii="Verdana" w:hAnsi="Verdana" w:cs="Arial"/>
          <w:bCs/>
          <w:i/>
          <w:sz w:val="20"/>
          <w:szCs w:val="20"/>
        </w:rPr>
        <w:t>t</w:t>
      </w:r>
    </w:p>
    <w:p w14:paraId="14585C34" w14:textId="60E1C1CB" w:rsidR="0060639E" w:rsidRPr="00D40192" w:rsidRDefault="00BA02C0" w:rsidP="00BA02C0">
      <w:pPr>
        <w:ind w:firstLine="6"/>
        <w:jc w:val="both"/>
        <w:rPr>
          <w:rFonts w:ascii="Verdana" w:hAnsi="Verdana" w:cs="Arial"/>
          <w:bCs/>
          <w:sz w:val="20"/>
          <w:szCs w:val="20"/>
        </w:rPr>
      </w:pPr>
      <m:oMath>
        <m:r>
          <w:rPr>
            <w:rFonts w:ascii="Cambria Math" w:hAnsi="Cambria Math" w:cs="Arial"/>
            <w:sz w:val="20"/>
            <w:szCs w:val="20"/>
          </w:rPr>
          <m:t>VFCR(t)</m:t>
        </m:r>
      </m:oMath>
      <w:r w:rsidRPr="00D40192">
        <w:rPr>
          <w:rFonts w:ascii="Verdana" w:eastAsiaTheme="minorEastAsia" w:hAnsi="Verdana" w:cs="Arial"/>
          <w:sz w:val="20"/>
          <w:szCs w:val="20"/>
        </w:rPr>
        <w:t>: es el</w:t>
      </w:r>
      <w:r w:rsidR="0060639E" w:rsidRPr="00D40192">
        <w:rPr>
          <w:rFonts w:ascii="Verdana" w:hAnsi="Verdana" w:cs="Arial"/>
          <w:bCs/>
          <w:sz w:val="20"/>
          <w:szCs w:val="20"/>
        </w:rPr>
        <w:tab/>
      </w:r>
      <w:r w:rsidRPr="00D40192">
        <w:rPr>
          <w:rFonts w:ascii="Verdana" w:hAnsi="Verdana" w:cs="Arial"/>
          <w:bCs/>
          <w:sz w:val="20"/>
          <w:szCs w:val="20"/>
        </w:rPr>
        <w:t xml:space="preserve"> v</w:t>
      </w:r>
      <w:r w:rsidR="0060639E" w:rsidRPr="00D40192">
        <w:rPr>
          <w:rFonts w:ascii="Verdana" w:hAnsi="Verdana" w:cs="Arial"/>
          <w:bCs/>
          <w:sz w:val="20"/>
          <w:szCs w:val="20"/>
        </w:rPr>
        <w:t xml:space="preserve">alor del tipo de fondo o portafolio al cierre del día </w:t>
      </w:r>
      <w:r w:rsidR="0060639E" w:rsidRPr="00D40192">
        <w:rPr>
          <w:rFonts w:ascii="Verdana" w:hAnsi="Verdana" w:cs="Arial"/>
          <w:bCs/>
          <w:i/>
          <w:sz w:val="20"/>
          <w:szCs w:val="20"/>
        </w:rPr>
        <w:t>t</w:t>
      </w:r>
      <w:r w:rsidR="0060639E" w:rsidRPr="00D40192">
        <w:rPr>
          <w:rFonts w:ascii="Verdana" w:hAnsi="Verdana" w:cs="Arial"/>
          <w:bCs/>
          <w:sz w:val="20"/>
          <w:szCs w:val="20"/>
        </w:rPr>
        <w:t xml:space="preserve"> incluidos los rendimientos</w:t>
      </w:r>
    </w:p>
    <w:p w14:paraId="41527985" w14:textId="6CEC0E65" w:rsidR="00625429" w:rsidRPr="00BF45CC" w:rsidRDefault="00234BA7" w:rsidP="00BF45CC">
      <w:pPr>
        <w:ind w:left="1416" w:hanging="1410"/>
        <w:jc w:val="both"/>
        <w:rPr>
          <w:rFonts w:ascii="Verdana" w:hAnsi="Verdana" w:cs="Arial"/>
          <w:bCs/>
          <w:i/>
          <w:sz w:val="20"/>
          <w:szCs w:val="20"/>
        </w:rPr>
      </w:pPr>
      <m:oMath>
        <m:r>
          <w:rPr>
            <w:rFonts w:ascii="Cambria Math" w:hAnsi="Cambria Math" w:cs="Arial"/>
            <w:sz w:val="20"/>
            <w:szCs w:val="20"/>
          </w:rPr>
          <m:t>NUC(t)</m:t>
        </m:r>
      </m:oMath>
      <w:r w:rsidRPr="00D40192">
        <w:rPr>
          <w:rFonts w:ascii="Verdana" w:eastAsiaTheme="minorEastAsia" w:hAnsi="Verdana" w:cs="Arial"/>
          <w:sz w:val="20"/>
          <w:szCs w:val="20"/>
        </w:rPr>
        <w:t>: es el n</w:t>
      </w:r>
      <w:proofErr w:type="spellStart"/>
      <w:r w:rsidR="0060639E" w:rsidRPr="00D40192">
        <w:rPr>
          <w:rFonts w:ascii="Verdana" w:hAnsi="Verdana" w:cs="Arial"/>
          <w:bCs/>
          <w:sz w:val="20"/>
          <w:szCs w:val="20"/>
        </w:rPr>
        <w:t>úmero</w:t>
      </w:r>
      <w:proofErr w:type="spellEnd"/>
      <w:r w:rsidR="0060639E" w:rsidRPr="00D40192">
        <w:rPr>
          <w:rFonts w:ascii="Verdana" w:hAnsi="Verdana" w:cs="Arial"/>
          <w:bCs/>
          <w:sz w:val="20"/>
          <w:szCs w:val="20"/>
        </w:rPr>
        <w:t xml:space="preserve"> de unidades del tipo de fondo o portafolio al cierre del día </w:t>
      </w:r>
      <w:r w:rsidR="0060639E" w:rsidRPr="00D40192">
        <w:rPr>
          <w:rFonts w:ascii="Verdana" w:hAnsi="Verdana" w:cs="Arial"/>
          <w:bCs/>
          <w:i/>
          <w:sz w:val="20"/>
          <w:szCs w:val="20"/>
        </w:rPr>
        <w:t>t</w:t>
      </w:r>
    </w:p>
    <w:p w14:paraId="13CFA283" w14:textId="76735360" w:rsidR="000A74D4" w:rsidRPr="00D40192" w:rsidRDefault="00625429" w:rsidP="00072835">
      <w:pPr>
        <w:jc w:val="both"/>
        <w:rPr>
          <w:rFonts w:ascii="Verdana" w:hAnsi="Verdana" w:cs="Arial"/>
          <w:b/>
          <w:sz w:val="20"/>
          <w:szCs w:val="20"/>
        </w:rPr>
      </w:pPr>
      <w:r w:rsidRPr="00D40192">
        <w:rPr>
          <w:rFonts w:ascii="Verdana" w:hAnsi="Verdana" w:cs="Arial"/>
          <w:b/>
          <w:sz w:val="20"/>
          <w:szCs w:val="20"/>
        </w:rPr>
        <w:t>CÁLCULO DE LA RENTABILIDAD OBTENIDA POR EL TIPO DE FONDO DE PENSIONES O DEL PORTAFOLIO DEL FONDO DE CESANTÍA</w:t>
      </w:r>
    </w:p>
    <w:p w14:paraId="13F2407E" w14:textId="1DAB0951" w:rsidR="004A4717" w:rsidRPr="00625429" w:rsidRDefault="0060639E" w:rsidP="00625429">
      <w:pPr>
        <w:jc w:val="both"/>
        <w:rPr>
          <w:rFonts w:ascii="Verdana" w:hAnsi="Verdana" w:cs="Arial"/>
          <w:b/>
          <w:sz w:val="20"/>
          <w:szCs w:val="20"/>
        </w:rPr>
      </w:pPr>
      <w:r w:rsidRPr="00625429">
        <w:rPr>
          <w:rFonts w:ascii="Verdana" w:hAnsi="Verdana" w:cs="Arial"/>
          <w:b/>
          <w:sz w:val="20"/>
          <w:szCs w:val="20"/>
        </w:rPr>
        <w:t xml:space="preserve">Rentabilidad diaria </w:t>
      </w:r>
    </w:p>
    <w:p w14:paraId="4FA0E356" w14:textId="5B9DEAA0" w:rsidR="004A4717" w:rsidRPr="00D40192" w:rsidRDefault="00855EEC" w:rsidP="004A4717">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4A4717" w:rsidRPr="00D40192">
        <w:rPr>
          <w:rFonts w:ascii="Verdana" w:hAnsi="Verdana" w:cs="Arial"/>
          <w:bCs/>
          <w:sz w:val="20"/>
          <w:szCs w:val="20"/>
        </w:rPr>
        <w:t>1.</w:t>
      </w:r>
      <w:r w:rsidR="00940C50" w:rsidRPr="00D40192">
        <w:rPr>
          <w:rFonts w:ascii="Verdana" w:hAnsi="Verdana" w:cs="Arial"/>
          <w:bCs/>
          <w:sz w:val="20"/>
          <w:szCs w:val="20"/>
        </w:rPr>
        <w:t>9</w:t>
      </w:r>
      <w:r w:rsidR="004A4717" w:rsidRPr="00D40192">
        <w:rPr>
          <w:rFonts w:ascii="Verdana" w:hAnsi="Verdana" w:cs="Arial"/>
          <w:bCs/>
          <w:sz w:val="20"/>
          <w:szCs w:val="20"/>
        </w:rPr>
        <w:t>.</w:t>
      </w:r>
    </w:p>
    <w:p w14:paraId="3A46AE19" w14:textId="4B82B055" w:rsidR="0060639E" w:rsidRPr="00D40192" w:rsidRDefault="0060639E" w:rsidP="000E74AF">
      <w:pPr>
        <w:tabs>
          <w:tab w:val="left" w:pos="540"/>
        </w:tabs>
        <w:spacing w:after="0" w:line="240" w:lineRule="auto"/>
        <w:jc w:val="both"/>
        <w:rPr>
          <w:rFonts w:ascii="Verdana" w:hAnsi="Verdana" w:cs="Arial"/>
          <w:bCs/>
          <w:sz w:val="20"/>
          <w:szCs w:val="20"/>
        </w:rPr>
      </w:pPr>
      <w:r w:rsidRPr="00D40192">
        <w:rPr>
          <w:rFonts w:ascii="Verdana" w:hAnsi="Verdana" w:cs="Arial"/>
          <w:bCs/>
          <w:sz w:val="20"/>
          <w:szCs w:val="20"/>
        </w:rPr>
        <w:t xml:space="preserve">El cálculo de la rentabilidad diaria efectiva anual obtenida por el tipo de fondo o portafolio debe hacerse conforme a la </w:t>
      </w:r>
      <w:r w:rsidRPr="003A6651">
        <w:rPr>
          <w:rFonts w:ascii="Verdana" w:hAnsi="Verdana" w:cs="Arial"/>
          <w:bCs/>
          <w:sz w:val="20"/>
          <w:szCs w:val="20"/>
        </w:rPr>
        <w:t xml:space="preserve">fórmula del </w:t>
      </w:r>
      <w:r w:rsidR="000E74AF" w:rsidRPr="003A6651">
        <w:rPr>
          <w:rFonts w:ascii="Verdana" w:hAnsi="Verdana" w:cs="Arial"/>
          <w:bCs/>
          <w:sz w:val="20"/>
          <w:szCs w:val="20"/>
        </w:rPr>
        <w:t xml:space="preserve">párrafo </w:t>
      </w:r>
      <w:r w:rsidR="00855EEC">
        <w:rPr>
          <w:rFonts w:ascii="Verdana" w:hAnsi="Verdana" w:cs="Arial"/>
          <w:bCs/>
          <w:sz w:val="20"/>
          <w:szCs w:val="20"/>
        </w:rPr>
        <w:t>3.11.</w:t>
      </w:r>
      <w:r w:rsidR="000E74AF" w:rsidRPr="003A6651">
        <w:rPr>
          <w:rFonts w:ascii="Verdana" w:hAnsi="Verdana" w:cs="Arial"/>
          <w:bCs/>
          <w:sz w:val="20"/>
          <w:szCs w:val="20"/>
        </w:rPr>
        <w:t>1.</w:t>
      </w:r>
      <w:r w:rsidR="00F918B0">
        <w:rPr>
          <w:rFonts w:ascii="Verdana" w:hAnsi="Verdana" w:cs="Arial"/>
          <w:bCs/>
          <w:sz w:val="20"/>
          <w:szCs w:val="20"/>
        </w:rPr>
        <w:t>1</w:t>
      </w:r>
      <w:r w:rsidR="003A6651" w:rsidRPr="003A6651">
        <w:rPr>
          <w:rFonts w:ascii="Verdana" w:hAnsi="Verdana" w:cs="Arial"/>
          <w:bCs/>
          <w:sz w:val="20"/>
          <w:szCs w:val="20"/>
        </w:rPr>
        <w:t>0</w:t>
      </w:r>
      <w:r w:rsidR="000E74AF" w:rsidRPr="003A6651">
        <w:rPr>
          <w:rFonts w:ascii="Verdana" w:hAnsi="Verdana" w:cs="Arial"/>
          <w:bCs/>
          <w:sz w:val="20"/>
          <w:szCs w:val="20"/>
        </w:rPr>
        <w:t>.</w:t>
      </w:r>
      <w:r w:rsidR="000E74AF" w:rsidRPr="00D40192">
        <w:rPr>
          <w:rFonts w:ascii="Verdana" w:hAnsi="Verdana" w:cs="Arial"/>
          <w:bCs/>
          <w:sz w:val="20"/>
          <w:szCs w:val="20"/>
        </w:rPr>
        <w:t xml:space="preserve"> </w:t>
      </w:r>
      <w:r w:rsidRPr="00D40192">
        <w:rPr>
          <w:rFonts w:ascii="Verdana" w:hAnsi="Verdana" w:cs="Arial"/>
          <w:bCs/>
          <w:sz w:val="20"/>
          <w:szCs w:val="20"/>
        </w:rPr>
        <w:t>con el periodo de cálculo correspondiente a un día.</w:t>
      </w:r>
    </w:p>
    <w:p w14:paraId="03986397" w14:textId="77777777" w:rsidR="000E74AF" w:rsidRPr="00D40192" w:rsidRDefault="000E74AF" w:rsidP="000E74AF">
      <w:pPr>
        <w:tabs>
          <w:tab w:val="left" w:pos="540"/>
        </w:tabs>
        <w:spacing w:after="0" w:line="240" w:lineRule="auto"/>
        <w:jc w:val="both"/>
        <w:rPr>
          <w:rFonts w:ascii="Verdana" w:hAnsi="Verdana" w:cs="Arial"/>
          <w:bCs/>
          <w:sz w:val="20"/>
          <w:szCs w:val="20"/>
        </w:rPr>
      </w:pPr>
    </w:p>
    <w:p w14:paraId="1E53A094" w14:textId="00AABD00" w:rsidR="004A4717" w:rsidRPr="00625429" w:rsidRDefault="0060639E" w:rsidP="00625429">
      <w:pPr>
        <w:jc w:val="both"/>
        <w:rPr>
          <w:rFonts w:ascii="Verdana" w:hAnsi="Verdana" w:cs="Arial"/>
          <w:b/>
          <w:sz w:val="20"/>
          <w:szCs w:val="20"/>
        </w:rPr>
      </w:pPr>
      <w:r w:rsidRPr="00625429">
        <w:rPr>
          <w:rFonts w:ascii="Verdana" w:hAnsi="Verdana" w:cs="Arial"/>
          <w:b/>
          <w:sz w:val="20"/>
          <w:szCs w:val="20"/>
        </w:rPr>
        <w:t>Rentabilidad acumulada del tipo de fondo o del portafolio</w:t>
      </w:r>
    </w:p>
    <w:p w14:paraId="2312F2BF" w14:textId="39D6ECC8" w:rsidR="00ED1530" w:rsidRPr="00D40192" w:rsidRDefault="00855EEC" w:rsidP="00ED1530">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ED1530" w:rsidRPr="00D40192">
        <w:rPr>
          <w:rFonts w:ascii="Verdana" w:hAnsi="Verdana" w:cs="Arial"/>
          <w:bCs/>
          <w:sz w:val="20"/>
          <w:szCs w:val="20"/>
        </w:rPr>
        <w:t>1.</w:t>
      </w:r>
      <w:r w:rsidR="00940C50" w:rsidRPr="00D40192">
        <w:rPr>
          <w:rFonts w:ascii="Verdana" w:hAnsi="Verdana" w:cs="Arial"/>
          <w:bCs/>
          <w:sz w:val="20"/>
          <w:szCs w:val="20"/>
        </w:rPr>
        <w:t>10</w:t>
      </w:r>
      <w:r w:rsidR="00ED1530" w:rsidRPr="00D40192">
        <w:rPr>
          <w:rFonts w:ascii="Verdana" w:hAnsi="Verdana" w:cs="Arial"/>
          <w:bCs/>
          <w:sz w:val="20"/>
          <w:szCs w:val="20"/>
        </w:rPr>
        <w:t>.</w:t>
      </w:r>
    </w:p>
    <w:p w14:paraId="4491BB5D" w14:textId="57D1B4D3" w:rsidR="0060639E" w:rsidRPr="00D40192" w:rsidRDefault="0060639E" w:rsidP="001C5790">
      <w:pPr>
        <w:jc w:val="both"/>
        <w:rPr>
          <w:rFonts w:ascii="Verdana" w:hAnsi="Verdana" w:cs="Arial"/>
          <w:bCs/>
          <w:sz w:val="20"/>
          <w:szCs w:val="20"/>
        </w:rPr>
      </w:pPr>
      <w:r w:rsidRPr="00D40192">
        <w:rPr>
          <w:rFonts w:ascii="Verdana" w:hAnsi="Verdana" w:cs="Arial"/>
          <w:bCs/>
          <w:sz w:val="20"/>
          <w:szCs w:val="20"/>
        </w:rPr>
        <w:t>Corresponde a la razón entre el valor de la unidad del fondo o portafolio resultante al momento del cálculo y su valor inicial, aplicando la siguiente fórmula:</w:t>
      </w:r>
    </w:p>
    <w:p w14:paraId="25CDC72A" w14:textId="77777777" w:rsidR="0060639E" w:rsidRPr="00D40192" w:rsidRDefault="0060639E" w:rsidP="00072835">
      <w:pPr>
        <w:jc w:val="both"/>
        <w:rPr>
          <w:rFonts w:ascii="Verdana" w:hAnsi="Verdana" w:cs="Arial"/>
          <w:bCs/>
          <w:sz w:val="20"/>
          <w:szCs w:val="20"/>
        </w:rPr>
      </w:pPr>
    </w:p>
    <w:p w14:paraId="5ECC6586" w14:textId="77777777" w:rsidR="00F3570E" w:rsidRPr="00D40192" w:rsidRDefault="00F3570E" w:rsidP="00072835">
      <w:pPr>
        <w:jc w:val="both"/>
        <w:rPr>
          <w:rFonts w:ascii="Verdana" w:hAnsi="Verdana" w:cs="Arial"/>
          <w:bCs/>
          <w:sz w:val="20"/>
          <w:szCs w:val="20"/>
        </w:rPr>
      </w:pPr>
    </w:p>
    <w:p w14:paraId="616F0C88" w14:textId="78B2E220" w:rsidR="00F3570E" w:rsidRPr="00D40192" w:rsidRDefault="00F3570E" w:rsidP="00072835">
      <w:pPr>
        <w:jc w:val="both"/>
        <w:rPr>
          <w:rFonts w:ascii="Verdana" w:hAnsi="Verdana" w:cs="Arial"/>
          <w:bCs/>
          <w:sz w:val="20"/>
          <w:szCs w:val="20"/>
        </w:rPr>
      </w:pPr>
      <m:oMathPara>
        <m:oMath>
          <m:r>
            <w:rPr>
              <w:rFonts w:ascii="Cambria Math" w:hAnsi="Cambria Math" w:cs="Arial"/>
              <w:sz w:val="20"/>
              <w:szCs w:val="20"/>
            </w:rPr>
            <m:t>RNA=</m:t>
          </m:r>
          <m:d>
            <m:dPr>
              <m:begChr m:val="["/>
              <m:endChr m:val="]"/>
              <m:ctrlPr>
                <w:rPr>
                  <w:rFonts w:ascii="Cambria Math" w:hAnsi="Cambria Math" w:cs="Arial"/>
                  <w:bCs/>
                  <w:i/>
                  <w:sz w:val="20"/>
                  <w:szCs w:val="20"/>
                </w:rPr>
              </m:ctrlPr>
            </m:dPr>
            <m:e>
              <m:sSup>
                <m:sSupPr>
                  <m:ctrlPr>
                    <w:rPr>
                      <w:rFonts w:ascii="Cambria Math" w:hAnsi="Cambria Math" w:cs="Arial"/>
                      <w:bCs/>
                      <w:i/>
                      <w:sz w:val="20"/>
                      <w:szCs w:val="20"/>
                    </w:rPr>
                  </m:ctrlPr>
                </m:sSupPr>
                <m:e>
                  <m:d>
                    <m:dPr>
                      <m:ctrlPr>
                        <w:rPr>
                          <w:rFonts w:ascii="Cambria Math" w:hAnsi="Cambria Math" w:cs="Arial"/>
                          <w:bCs/>
                          <w:i/>
                          <w:sz w:val="20"/>
                          <w:szCs w:val="20"/>
                        </w:rPr>
                      </m:ctrlPr>
                    </m:dPr>
                    <m:e>
                      <m:f>
                        <m:fPr>
                          <m:ctrlPr>
                            <w:rPr>
                              <w:rFonts w:ascii="Cambria Math" w:hAnsi="Cambria Math" w:cs="Arial"/>
                              <w:bCs/>
                              <w:i/>
                              <w:sz w:val="20"/>
                              <w:szCs w:val="20"/>
                            </w:rPr>
                          </m:ctrlPr>
                        </m:fPr>
                        <m:num>
                          <m:r>
                            <w:rPr>
                              <w:rFonts w:ascii="Cambria Math" w:hAnsi="Cambria Math" w:cs="Arial"/>
                              <w:sz w:val="20"/>
                              <w:szCs w:val="20"/>
                            </w:rPr>
                            <m:t>VUC(t)</m:t>
                          </m:r>
                        </m:num>
                        <m:den>
                          <m:r>
                            <w:rPr>
                              <w:rFonts w:ascii="Cambria Math" w:hAnsi="Cambria Math" w:cs="Arial"/>
                              <w:sz w:val="20"/>
                              <w:szCs w:val="20"/>
                            </w:rPr>
                            <m:t>VUC(i)</m:t>
                          </m:r>
                        </m:den>
                      </m:f>
                    </m:e>
                  </m:d>
                </m:e>
                <m:sup>
                  <m:f>
                    <m:fPr>
                      <m:ctrlPr>
                        <w:rPr>
                          <w:rFonts w:ascii="Cambria Math" w:hAnsi="Cambria Math" w:cs="Arial"/>
                          <w:bCs/>
                          <w:i/>
                          <w:sz w:val="20"/>
                          <w:szCs w:val="20"/>
                        </w:rPr>
                      </m:ctrlPr>
                    </m:fPr>
                    <m:num>
                      <m:r>
                        <w:rPr>
                          <w:rFonts w:ascii="Cambria Math" w:hAnsi="Cambria Math" w:cs="Arial"/>
                          <w:sz w:val="20"/>
                          <w:szCs w:val="20"/>
                        </w:rPr>
                        <m:t>365</m:t>
                      </m:r>
                    </m:num>
                    <m:den>
                      <m:r>
                        <w:rPr>
                          <w:rFonts w:ascii="Cambria Math" w:hAnsi="Cambria Math" w:cs="Arial"/>
                          <w:sz w:val="20"/>
                          <w:szCs w:val="20"/>
                        </w:rPr>
                        <m:t>n</m:t>
                      </m:r>
                    </m:den>
                  </m:f>
                </m:sup>
              </m:sSup>
            </m:e>
          </m:d>
          <m:r>
            <w:rPr>
              <w:rFonts w:ascii="Cambria Math" w:hAnsi="Cambria Math" w:cs="Arial"/>
              <w:sz w:val="20"/>
              <w:szCs w:val="20"/>
            </w:rPr>
            <m:t>-1</m:t>
          </m:r>
        </m:oMath>
      </m:oMathPara>
    </w:p>
    <w:p w14:paraId="77239E0F" w14:textId="56E2BE56" w:rsidR="0060639E" w:rsidRPr="00D40192" w:rsidRDefault="0060639E" w:rsidP="00072835">
      <w:pPr>
        <w:ind w:left="567" w:hanging="567"/>
        <w:jc w:val="both"/>
        <w:rPr>
          <w:rFonts w:ascii="Verdana" w:hAnsi="Verdana" w:cs="Arial"/>
          <w:bCs/>
          <w:sz w:val="20"/>
          <w:szCs w:val="20"/>
        </w:rPr>
      </w:pPr>
      <w:r w:rsidRPr="00D40192">
        <w:rPr>
          <w:rFonts w:ascii="Verdana" w:hAnsi="Verdana" w:cs="Arial"/>
          <w:bCs/>
          <w:sz w:val="20"/>
          <w:szCs w:val="20"/>
        </w:rPr>
        <w:t>Donde:</w:t>
      </w:r>
    </w:p>
    <w:p w14:paraId="6AA4150D" w14:textId="228F0E57" w:rsidR="0060639E" w:rsidRPr="00D40192" w:rsidRDefault="00625429" w:rsidP="00072835">
      <w:pPr>
        <w:ind w:left="567" w:hanging="567"/>
        <w:jc w:val="both"/>
        <w:rPr>
          <w:rFonts w:ascii="Verdana" w:hAnsi="Verdana" w:cs="Arial"/>
          <w:bCs/>
          <w:sz w:val="20"/>
          <w:szCs w:val="20"/>
        </w:rPr>
      </w:pPr>
      <m:oMath>
        <m:r>
          <w:rPr>
            <w:rFonts w:ascii="Cambria Math" w:hAnsi="Cambria Math" w:cs="Arial"/>
            <w:sz w:val="20"/>
            <w:szCs w:val="20"/>
          </w:rPr>
          <m:t>RNA</m:t>
        </m:r>
      </m:oMath>
      <w:r>
        <w:rPr>
          <w:rFonts w:ascii="Verdana" w:hAnsi="Verdana" w:cs="Arial"/>
          <w:bCs/>
          <w:sz w:val="20"/>
          <w:szCs w:val="20"/>
        </w:rPr>
        <w:t>: es la r</w:t>
      </w:r>
      <w:proofErr w:type="spellStart"/>
      <w:r w:rsidR="0060639E" w:rsidRPr="00D40192">
        <w:rPr>
          <w:rFonts w:ascii="Verdana" w:hAnsi="Verdana" w:cs="Arial"/>
          <w:bCs/>
          <w:sz w:val="20"/>
          <w:szCs w:val="20"/>
        </w:rPr>
        <w:t>entabilidad</w:t>
      </w:r>
      <w:proofErr w:type="spellEnd"/>
      <w:r w:rsidR="0060639E" w:rsidRPr="00D40192">
        <w:rPr>
          <w:rFonts w:ascii="Verdana" w:hAnsi="Verdana" w:cs="Arial"/>
          <w:bCs/>
          <w:sz w:val="20"/>
          <w:szCs w:val="20"/>
        </w:rPr>
        <w:t xml:space="preserve"> nominal en términos anuales</w:t>
      </w:r>
    </w:p>
    <w:p w14:paraId="2FF12781" w14:textId="048F385E" w:rsidR="0060639E" w:rsidRPr="00D40192" w:rsidRDefault="00625429" w:rsidP="00625429">
      <w:pPr>
        <w:jc w:val="both"/>
        <w:rPr>
          <w:rFonts w:ascii="Verdana" w:hAnsi="Verdana" w:cs="Arial"/>
          <w:bCs/>
          <w:sz w:val="20"/>
          <w:szCs w:val="20"/>
        </w:rPr>
      </w:pPr>
      <m:oMath>
        <m:r>
          <w:rPr>
            <w:rFonts w:ascii="Cambria Math" w:hAnsi="Cambria Math" w:cs="Arial"/>
            <w:sz w:val="20"/>
            <w:szCs w:val="20"/>
          </w:rPr>
          <m:t>VUC(t)</m:t>
        </m:r>
      </m:oMath>
      <w:r>
        <w:rPr>
          <w:rFonts w:ascii="Verdana" w:eastAsiaTheme="minorEastAsia" w:hAnsi="Verdana" w:cs="Arial"/>
          <w:bCs/>
          <w:sz w:val="20"/>
          <w:szCs w:val="20"/>
        </w:rPr>
        <w:t xml:space="preserve">: es el </w:t>
      </w:r>
      <w:r w:rsidR="0060639E" w:rsidRPr="00D40192">
        <w:rPr>
          <w:rFonts w:ascii="Verdana" w:hAnsi="Verdana" w:cs="Arial"/>
          <w:bCs/>
          <w:sz w:val="20"/>
          <w:szCs w:val="20"/>
        </w:rPr>
        <w:tab/>
      </w:r>
      <w:r>
        <w:rPr>
          <w:rFonts w:ascii="Verdana" w:hAnsi="Verdana" w:cs="Arial"/>
          <w:bCs/>
          <w:sz w:val="20"/>
          <w:szCs w:val="20"/>
        </w:rPr>
        <w:t>v</w:t>
      </w:r>
      <w:r w:rsidR="0060639E" w:rsidRPr="00D40192">
        <w:rPr>
          <w:rFonts w:ascii="Verdana" w:hAnsi="Verdana" w:cs="Arial"/>
          <w:bCs/>
          <w:sz w:val="20"/>
          <w:szCs w:val="20"/>
        </w:rPr>
        <w:t>alor de la unidad del fondo o portafolio al cierre del día final del periodo de cálculo</w:t>
      </w:r>
    </w:p>
    <w:p w14:paraId="03424667" w14:textId="4A9787FA" w:rsidR="0060639E" w:rsidRPr="00D40192" w:rsidRDefault="00625429" w:rsidP="00625429">
      <w:pPr>
        <w:jc w:val="both"/>
        <w:rPr>
          <w:rFonts w:ascii="Verdana" w:hAnsi="Verdana" w:cs="Arial"/>
          <w:bCs/>
          <w:sz w:val="20"/>
          <w:szCs w:val="20"/>
        </w:rPr>
      </w:pPr>
      <m:oMath>
        <m:r>
          <w:rPr>
            <w:rFonts w:ascii="Cambria Math" w:hAnsi="Cambria Math" w:cs="Arial"/>
            <w:sz w:val="20"/>
            <w:szCs w:val="20"/>
          </w:rPr>
          <m:t>VUC(i)</m:t>
        </m:r>
      </m:oMath>
      <w:r>
        <w:rPr>
          <w:rFonts w:ascii="Verdana" w:eastAsiaTheme="minorEastAsia" w:hAnsi="Verdana" w:cs="Arial"/>
          <w:bCs/>
          <w:sz w:val="20"/>
          <w:szCs w:val="20"/>
        </w:rPr>
        <w:t xml:space="preserve">: es el </w:t>
      </w:r>
      <w:r w:rsidRPr="00D40192">
        <w:rPr>
          <w:rFonts w:ascii="Verdana" w:hAnsi="Verdana" w:cs="Arial"/>
          <w:bCs/>
          <w:sz w:val="20"/>
          <w:szCs w:val="20"/>
        </w:rPr>
        <w:tab/>
      </w:r>
      <w:r>
        <w:rPr>
          <w:rFonts w:ascii="Verdana" w:hAnsi="Verdana" w:cs="Arial"/>
          <w:bCs/>
          <w:sz w:val="20"/>
          <w:szCs w:val="20"/>
        </w:rPr>
        <w:t>v</w:t>
      </w:r>
      <w:r w:rsidRPr="00D40192">
        <w:rPr>
          <w:rFonts w:ascii="Verdana" w:hAnsi="Verdana" w:cs="Arial"/>
          <w:bCs/>
          <w:sz w:val="20"/>
          <w:szCs w:val="20"/>
        </w:rPr>
        <w:t xml:space="preserve">alor </w:t>
      </w:r>
      <w:r w:rsidR="0060639E" w:rsidRPr="00D40192">
        <w:rPr>
          <w:rFonts w:ascii="Verdana" w:hAnsi="Verdana" w:cs="Arial"/>
          <w:bCs/>
          <w:sz w:val="20"/>
          <w:szCs w:val="20"/>
        </w:rPr>
        <w:t>de la unidad del fondo o portafolio al cierre del día inicial del periodo de cálculo</w:t>
      </w:r>
      <w:r>
        <w:rPr>
          <w:rFonts w:ascii="Verdana" w:hAnsi="Verdana" w:cs="Arial"/>
          <w:bCs/>
          <w:sz w:val="20"/>
          <w:szCs w:val="20"/>
        </w:rPr>
        <w:t>.</w:t>
      </w:r>
    </w:p>
    <w:p w14:paraId="599D422E" w14:textId="37C05F79" w:rsidR="0060639E" w:rsidRPr="00D40192" w:rsidRDefault="00BB7AE0" w:rsidP="00072835">
      <w:pPr>
        <w:ind w:left="567" w:hanging="567"/>
        <w:jc w:val="both"/>
        <w:rPr>
          <w:rFonts w:ascii="Verdana" w:hAnsi="Verdana" w:cs="Arial"/>
          <w:bCs/>
          <w:sz w:val="20"/>
          <w:szCs w:val="20"/>
        </w:rPr>
      </w:pPr>
      <m:oMath>
        <m:r>
          <w:rPr>
            <w:rFonts w:ascii="Cambria Math" w:hAnsi="Cambria Math" w:cs="Arial"/>
            <w:sz w:val="20"/>
            <w:szCs w:val="20"/>
          </w:rPr>
          <m:t>n</m:t>
        </m:r>
      </m:oMath>
      <w:r>
        <w:rPr>
          <w:rFonts w:ascii="Verdana" w:hAnsi="Verdana" w:cs="Arial"/>
          <w:bCs/>
          <w:i/>
          <w:sz w:val="20"/>
          <w:szCs w:val="20"/>
        </w:rPr>
        <w:t xml:space="preserve">: </w:t>
      </w:r>
      <w:r w:rsidRPr="00BB7AE0">
        <w:rPr>
          <w:rFonts w:ascii="Verdana" w:hAnsi="Verdana" w:cs="Arial"/>
          <w:bCs/>
          <w:iCs/>
          <w:sz w:val="20"/>
          <w:szCs w:val="20"/>
        </w:rPr>
        <w:t>es</w:t>
      </w:r>
      <w:r>
        <w:rPr>
          <w:rFonts w:ascii="Verdana" w:hAnsi="Verdana" w:cs="Arial"/>
          <w:bCs/>
          <w:i/>
          <w:sz w:val="20"/>
          <w:szCs w:val="20"/>
        </w:rPr>
        <w:t xml:space="preserve"> </w:t>
      </w:r>
      <w:r w:rsidRPr="00BB7AE0">
        <w:rPr>
          <w:rFonts w:ascii="Verdana" w:hAnsi="Verdana" w:cs="Arial"/>
          <w:bCs/>
          <w:iCs/>
          <w:sz w:val="20"/>
          <w:szCs w:val="20"/>
        </w:rPr>
        <w:t>el</w:t>
      </w:r>
      <w:r>
        <w:rPr>
          <w:rFonts w:ascii="Verdana" w:hAnsi="Verdana" w:cs="Arial"/>
          <w:bCs/>
          <w:i/>
          <w:sz w:val="20"/>
          <w:szCs w:val="20"/>
        </w:rPr>
        <w:t xml:space="preserve"> </w:t>
      </w:r>
      <w:r>
        <w:rPr>
          <w:rFonts w:ascii="Verdana" w:hAnsi="Verdana" w:cs="Arial"/>
          <w:bCs/>
          <w:sz w:val="20"/>
          <w:szCs w:val="20"/>
        </w:rPr>
        <w:t>n</w:t>
      </w:r>
      <w:r w:rsidR="0060639E" w:rsidRPr="00D40192">
        <w:rPr>
          <w:rFonts w:ascii="Verdana" w:hAnsi="Verdana" w:cs="Arial"/>
          <w:bCs/>
          <w:sz w:val="20"/>
          <w:szCs w:val="20"/>
        </w:rPr>
        <w:t>úmero de días del periodo de cálculo del fondo o portafolio</w:t>
      </w:r>
    </w:p>
    <w:p w14:paraId="28107526" w14:textId="1DC44E41" w:rsidR="006B7F30" w:rsidRPr="00D40192" w:rsidRDefault="0060639E" w:rsidP="0060639E">
      <w:pPr>
        <w:jc w:val="both"/>
        <w:rPr>
          <w:rFonts w:ascii="Verdana" w:hAnsi="Verdana" w:cs="Arial"/>
          <w:b/>
          <w:bCs/>
          <w:sz w:val="20"/>
          <w:szCs w:val="20"/>
        </w:rPr>
      </w:pPr>
      <w:r w:rsidRPr="00D40192">
        <w:rPr>
          <w:rFonts w:ascii="Verdana" w:hAnsi="Verdana" w:cs="Arial"/>
          <w:b/>
          <w:bCs/>
          <w:sz w:val="20"/>
          <w:szCs w:val="20"/>
        </w:rPr>
        <w:t>Procedimiento para los cortes mensuales de los tipos de fondos de pensiones obligatorias y portafolios del fondo de cesantía</w:t>
      </w:r>
    </w:p>
    <w:p w14:paraId="00419CD9" w14:textId="7BEA116E" w:rsidR="000807D7" w:rsidRPr="00D40192" w:rsidRDefault="00855EEC" w:rsidP="000807D7">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807D7" w:rsidRPr="00D40192">
        <w:rPr>
          <w:rFonts w:ascii="Verdana" w:hAnsi="Verdana" w:cs="Arial"/>
          <w:bCs/>
          <w:sz w:val="20"/>
          <w:szCs w:val="20"/>
        </w:rPr>
        <w:t>1.</w:t>
      </w:r>
      <w:r w:rsidR="00940C50" w:rsidRPr="00D40192">
        <w:rPr>
          <w:rFonts w:ascii="Verdana" w:hAnsi="Verdana" w:cs="Arial"/>
          <w:bCs/>
          <w:sz w:val="20"/>
          <w:szCs w:val="20"/>
        </w:rPr>
        <w:t>11</w:t>
      </w:r>
      <w:r w:rsidR="000807D7" w:rsidRPr="00D40192">
        <w:rPr>
          <w:rFonts w:ascii="Verdana" w:hAnsi="Verdana" w:cs="Arial"/>
          <w:bCs/>
          <w:sz w:val="20"/>
          <w:szCs w:val="20"/>
        </w:rPr>
        <w:t>.</w:t>
      </w:r>
    </w:p>
    <w:p w14:paraId="7CFF94F6" w14:textId="0F1A11CB" w:rsidR="0060639E" w:rsidRPr="00D40192" w:rsidRDefault="0060639E" w:rsidP="00E35824">
      <w:pPr>
        <w:jc w:val="both"/>
        <w:rPr>
          <w:rFonts w:ascii="Verdana" w:hAnsi="Verdana" w:cs="Arial"/>
          <w:sz w:val="20"/>
          <w:szCs w:val="20"/>
        </w:rPr>
      </w:pPr>
      <w:r w:rsidRPr="00D40192">
        <w:rPr>
          <w:rFonts w:ascii="Verdana" w:hAnsi="Verdana" w:cs="Arial"/>
          <w:sz w:val="20"/>
          <w:szCs w:val="20"/>
        </w:rPr>
        <w:t xml:space="preserve">De conformidad con lo establecido en las disposiciones legales vigentes, en el caso de los tipos de fondos de pensiones y para los portafolios de corto y largo plazo del fondo de cesantía, la verificación del cumplimiento de la rentabilidad mínima se efectúa en forma mensual. </w:t>
      </w:r>
    </w:p>
    <w:p w14:paraId="339FEC8B" w14:textId="2608EEB6" w:rsidR="005F31D3" w:rsidRPr="00D40192" w:rsidRDefault="0060639E" w:rsidP="003D6E22">
      <w:pPr>
        <w:pStyle w:val="Prrafodelista"/>
        <w:numPr>
          <w:ilvl w:val="0"/>
          <w:numId w:val="25"/>
        </w:numPr>
        <w:ind w:left="284" w:hanging="284"/>
        <w:jc w:val="both"/>
        <w:rPr>
          <w:rFonts w:ascii="Verdana" w:hAnsi="Verdana" w:cs="Arial"/>
          <w:b/>
          <w:bCs/>
          <w:sz w:val="20"/>
          <w:szCs w:val="20"/>
        </w:rPr>
      </w:pPr>
      <w:r w:rsidRPr="00D40192">
        <w:rPr>
          <w:rFonts w:ascii="Verdana" w:hAnsi="Verdana" w:cs="Arial"/>
          <w:b/>
          <w:bCs/>
          <w:sz w:val="20"/>
          <w:szCs w:val="20"/>
        </w:rPr>
        <w:t>Rentabilidad acumulada</w:t>
      </w:r>
    </w:p>
    <w:p w14:paraId="4BE6CCB4" w14:textId="1D0CC770" w:rsidR="005F31D3" w:rsidRPr="00D40192" w:rsidRDefault="00855EEC" w:rsidP="005F31D3">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5F31D3" w:rsidRPr="00D40192">
        <w:rPr>
          <w:rFonts w:ascii="Verdana" w:hAnsi="Verdana" w:cs="Arial"/>
          <w:bCs/>
          <w:sz w:val="20"/>
          <w:szCs w:val="20"/>
        </w:rPr>
        <w:t>1.1</w:t>
      </w:r>
      <w:r w:rsidR="00940C50" w:rsidRPr="00D40192">
        <w:rPr>
          <w:rFonts w:ascii="Verdana" w:hAnsi="Verdana" w:cs="Arial"/>
          <w:bCs/>
          <w:sz w:val="20"/>
          <w:szCs w:val="20"/>
        </w:rPr>
        <w:t>2</w:t>
      </w:r>
      <w:r w:rsidR="005F31D3" w:rsidRPr="00D40192">
        <w:rPr>
          <w:rFonts w:ascii="Verdana" w:hAnsi="Verdana" w:cs="Arial"/>
          <w:bCs/>
          <w:sz w:val="20"/>
          <w:szCs w:val="20"/>
        </w:rPr>
        <w:t>.</w:t>
      </w:r>
    </w:p>
    <w:p w14:paraId="48266907" w14:textId="100F9ACC" w:rsidR="007715E7" w:rsidRPr="00D40192" w:rsidRDefault="0060639E" w:rsidP="007715E7">
      <w:pPr>
        <w:tabs>
          <w:tab w:val="left" w:pos="540"/>
        </w:tabs>
        <w:spacing w:after="0" w:line="240" w:lineRule="auto"/>
        <w:jc w:val="both"/>
        <w:rPr>
          <w:rFonts w:ascii="Verdana" w:hAnsi="Verdana" w:cs="Arial"/>
          <w:sz w:val="20"/>
          <w:szCs w:val="20"/>
        </w:rPr>
      </w:pPr>
      <w:r w:rsidRPr="00D40192">
        <w:rPr>
          <w:rFonts w:ascii="Verdana" w:hAnsi="Verdana" w:cs="Arial"/>
          <w:bCs/>
          <w:sz w:val="20"/>
          <w:szCs w:val="20"/>
        </w:rPr>
        <w:t>La sociedad administradora debe determinar al cierre de cada mes, la rentabilidad</w:t>
      </w:r>
      <w:r w:rsidRPr="00D40192">
        <w:rPr>
          <w:rFonts w:ascii="Verdana" w:hAnsi="Verdana" w:cs="Arial"/>
          <w:sz w:val="20"/>
          <w:szCs w:val="20"/>
        </w:rPr>
        <w:t xml:space="preserve"> acumulada alcanzada por el tipo de fondo de pensiones y por los portafolios del fondo de cesantía </w:t>
      </w:r>
      <w:r w:rsidRPr="00234373">
        <w:rPr>
          <w:rFonts w:ascii="Verdana" w:hAnsi="Verdana" w:cs="Arial"/>
          <w:sz w:val="20"/>
          <w:szCs w:val="20"/>
        </w:rPr>
        <w:t xml:space="preserve">durante el período de cálculo, conforme a lo dispuesto en el </w:t>
      </w:r>
      <w:r w:rsidR="00D15381" w:rsidRPr="00234373">
        <w:rPr>
          <w:rFonts w:ascii="Verdana" w:hAnsi="Verdana" w:cs="Arial"/>
          <w:bCs/>
          <w:sz w:val="20"/>
          <w:szCs w:val="20"/>
        </w:rPr>
        <w:t xml:space="preserve">párrafo </w:t>
      </w:r>
      <w:r w:rsidR="00855EEC">
        <w:rPr>
          <w:rFonts w:ascii="Verdana" w:hAnsi="Verdana" w:cs="Arial"/>
          <w:bCs/>
          <w:sz w:val="20"/>
          <w:szCs w:val="20"/>
        </w:rPr>
        <w:t>3.11.</w:t>
      </w:r>
      <w:r w:rsidR="00D15381" w:rsidRPr="00234373">
        <w:rPr>
          <w:rFonts w:ascii="Verdana" w:hAnsi="Verdana" w:cs="Arial"/>
          <w:bCs/>
          <w:sz w:val="20"/>
          <w:szCs w:val="20"/>
        </w:rPr>
        <w:t>1.</w:t>
      </w:r>
      <w:r w:rsidR="00234373" w:rsidRPr="00234373">
        <w:rPr>
          <w:rFonts w:ascii="Verdana" w:hAnsi="Verdana" w:cs="Arial"/>
          <w:bCs/>
          <w:sz w:val="20"/>
          <w:szCs w:val="20"/>
        </w:rPr>
        <w:t>10</w:t>
      </w:r>
      <w:r w:rsidR="00D15381" w:rsidRPr="00234373">
        <w:rPr>
          <w:rFonts w:ascii="Verdana" w:hAnsi="Verdana" w:cs="Arial"/>
          <w:bCs/>
          <w:sz w:val="20"/>
          <w:szCs w:val="20"/>
        </w:rPr>
        <w:t xml:space="preserve">. </w:t>
      </w:r>
    </w:p>
    <w:p w14:paraId="573EA8AE" w14:textId="77777777" w:rsidR="007715E7" w:rsidRPr="00D40192" w:rsidRDefault="007715E7" w:rsidP="007715E7">
      <w:pPr>
        <w:tabs>
          <w:tab w:val="left" w:pos="540"/>
        </w:tabs>
        <w:spacing w:after="0" w:line="240" w:lineRule="auto"/>
        <w:jc w:val="both"/>
        <w:rPr>
          <w:rFonts w:ascii="Verdana" w:hAnsi="Verdana" w:cs="Arial"/>
          <w:sz w:val="20"/>
          <w:szCs w:val="20"/>
        </w:rPr>
      </w:pPr>
    </w:p>
    <w:p w14:paraId="18B86234" w14:textId="1F0735E8" w:rsidR="008353A3" w:rsidRPr="00D40192" w:rsidRDefault="0060639E" w:rsidP="007715E7">
      <w:pPr>
        <w:pStyle w:val="Prrafodelista"/>
        <w:numPr>
          <w:ilvl w:val="0"/>
          <w:numId w:val="25"/>
        </w:numPr>
        <w:tabs>
          <w:tab w:val="left" w:pos="540"/>
        </w:tabs>
        <w:spacing w:after="0" w:line="240" w:lineRule="auto"/>
        <w:ind w:left="284" w:hanging="284"/>
        <w:jc w:val="both"/>
        <w:rPr>
          <w:rFonts w:ascii="Verdana" w:hAnsi="Verdana" w:cs="Arial"/>
          <w:sz w:val="20"/>
          <w:szCs w:val="20"/>
        </w:rPr>
      </w:pPr>
      <w:r w:rsidRPr="00D40192">
        <w:rPr>
          <w:rFonts w:ascii="Verdana" w:hAnsi="Verdana" w:cs="Arial"/>
          <w:b/>
          <w:bCs/>
          <w:sz w:val="20"/>
          <w:szCs w:val="20"/>
        </w:rPr>
        <w:t>Rentabilidad acumulada mínima obligatoria</w:t>
      </w:r>
    </w:p>
    <w:p w14:paraId="596FA755" w14:textId="77777777" w:rsidR="007715E7" w:rsidRPr="00D40192" w:rsidRDefault="007715E7" w:rsidP="008353A3">
      <w:pPr>
        <w:tabs>
          <w:tab w:val="left" w:pos="540"/>
        </w:tabs>
        <w:spacing w:after="0" w:line="240" w:lineRule="auto"/>
        <w:jc w:val="both"/>
        <w:rPr>
          <w:rFonts w:ascii="Verdana" w:hAnsi="Verdana" w:cs="Arial"/>
          <w:bCs/>
          <w:sz w:val="20"/>
          <w:szCs w:val="20"/>
        </w:rPr>
      </w:pPr>
    </w:p>
    <w:p w14:paraId="00E75CDB" w14:textId="6FE8462F" w:rsidR="008353A3" w:rsidRPr="00D40192" w:rsidRDefault="00855EEC" w:rsidP="008353A3">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8353A3" w:rsidRPr="00D40192">
        <w:rPr>
          <w:rFonts w:ascii="Verdana" w:hAnsi="Verdana" w:cs="Arial"/>
          <w:bCs/>
          <w:sz w:val="20"/>
          <w:szCs w:val="20"/>
        </w:rPr>
        <w:t>1.1</w:t>
      </w:r>
      <w:r w:rsidR="00940C50" w:rsidRPr="00D40192">
        <w:rPr>
          <w:rFonts w:ascii="Verdana" w:hAnsi="Verdana" w:cs="Arial"/>
          <w:bCs/>
          <w:sz w:val="20"/>
          <w:szCs w:val="20"/>
        </w:rPr>
        <w:t>3</w:t>
      </w:r>
      <w:r w:rsidR="008353A3" w:rsidRPr="00D40192">
        <w:rPr>
          <w:rFonts w:ascii="Verdana" w:hAnsi="Verdana" w:cs="Arial"/>
          <w:bCs/>
          <w:sz w:val="20"/>
          <w:szCs w:val="20"/>
        </w:rPr>
        <w:t>.</w:t>
      </w:r>
    </w:p>
    <w:p w14:paraId="3C779C45" w14:textId="6433923A" w:rsidR="007715E7" w:rsidRPr="00D40192" w:rsidRDefault="0060639E" w:rsidP="007715E7">
      <w:pPr>
        <w:tabs>
          <w:tab w:val="left" w:pos="540"/>
        </w:tabs>
        <w:spacing w:after="0" w:line="240" w:lineRule="auto"/>
        <w:jc w:val="both"/>
        <w:rPr>
          <w:rFonts w:ascii="Verdana" w:hAnsi="Verdana" w:cs="Arial"/>
          <w:bCs/>
          <w:sz w:val="20"/>
          <w:szCs w:val="20"/>
        </w:rPr>
      </w:pPr>
      <w:r w:rsidRPr="00D40192">
        <w:rPr>
          <w:rFonts w:ascii="Verdana" w:hAnsi="Verdana" w:cs="Arial"/>
          <w:sz w:val="20"/>
          <w:szCs w:val="20"/>
        </w:rPr>
        <w:t xml:space="preserve">La rentabilidad acumulada mínima obligatoria para los tipos de fondos de pensiones y los portafolios del fondo de cesantía es calculada por la Superintendencia Financiera de Colombia, conforme a lo dispuesto en las disposiciones legales vigentes, y se divulga a más tardar el quinto día hábil siguiente a la </w:t>
      </w:r>
      <w:r w:rsidRPr="00B9241B">
        <w:rPr>
          <w:rFonts w:ascii="Verdana" w:hAnsi="Verdana" w:cs="Arial"/>
          <w:sz w:val="20"/>
          <w:szCs w:val="20"/>
        </w:rPr>
        <w:t xml:space="preserve">fecha de cada corte. Tratándose de los tipos de fondos de pensiones obligatorias, se tendrá en cuenta lo contemplado en </w:t>
      </w:r>
      <w:r w:rsidR="00237DB2" w:rsidRPr="00B9241B">
        <w:rPr>
          <w:rFonts w:ascii="Verdana" w:hAnsi="Verdana" w:cs="Arial"/>
          <w:sz w:val="20"/>
          <w:szCs w:val="20"/>
        </w:rPr>
        <w:t xml:space="preserve">los párrafos </w:t>
      </w:r>
      <w:r w:rsidR="00855EEC">
        <w:rPr>
          <w:rFonts w:ascii="Verdana" w:hAnsi="Verdana" w:cs="Arial"/>
          <w:bCs/>
          <w:sz w:val="20"/>
          <w:szCs w:val="20"/>
        </w:rPr>
        <w:t>3.11.</w:t>
      </w:r>
      <w:r w:rsidR="00237DB2" w:rsidRPr="00B9241B">
        <w:rPr>
          <w:rFonts w:ascii="Verdana" w:hAnsi="Verdana" w:cs="Arial"/>
          <w:bCs/>
          <w:sz w:val="20"/>
          <w:szCs w:val="20"/>
        </w:rPr>
        <w:t>1.</w:t>
      </w:r>
      <w:r w:rsidR="00B9241B" w:rsidRPr="00B9241B">
        <w:rPr>
          <w:rFonts w:ascii="Verdana" w:hAnsi="Verdana" w:cs="Arial"/>
          <w:bCs/>
          <w:sz w:val="20"/>
          <w:szCs w:val="20"/>
        </w:rPr>
        <w:t>11</w:t>
      </w:r>
      <w:r w:rsidR="00237DB2" w:rsidRPr="00B9241B">
        <w:rPr>
          <w:rFonts w:ascii="Verdana" w:hAnsi="Verdana" w:cs="Arial"/>
          <w:bCs/>
          <w:sz w:val="20"/>
          <w:szCs w:val="20"/>
        </w:rPr>
        <w:t xml:space="preserve">. y </w:t>
      </w:r>
      <w:r w:rsidR="00855EEC">
        <w:rPr>
          <w:rFonts w:ascii="Verdana" w:hAnsi="Verdana" w:cs="Arial"/>
          <w:bCs/>
          <w:sz w:val="20"/>
          <w:szCs w:val="20"/>
        </w:rPr>
        <w:t>3.11.</w:t>
      </w:r>
      <w:r w:rsidR="00237DB2" w:rsidRPr="00B9241B">
        <w:rPr>
          <w:rFonts w:ascii="Verdana" w:hAnsi="Verdana" w:cs="Arial"/>
          <w:bCs/>
          <w:sz w:val="20"/>
          <w:szCs w:val="20"/>
        </w:rPr>
        <w:t>1.1</w:t>
      </w:r>
      <w:r w:rsidR="00B9241B" w:rsidRPr="00B9241B">
        <w:rPr>
          <w:rFonts w:ascii="Verdana" w:hAnsi="Verdana" w:cs="Arial"/>
          <w:bCs/>
          <w:sz w:val="20"/>
          <w:szCs w:val="20"/>
        </w:rPr>
        <w:t>8</w:t>
      </w:r>
      <w:r w:rsidR="00237DB2" w:rsidRPr="00B9241B">
        <w:rPr>
          <w:rFonts w:ascii="Verdana" w:hAnsi="Verdana" w:cs="Arial"/>
          <w:bCs/>
          <w:sz w:val="20"/>
          <w:szCs w:val="20"/>
        </w:rPr>
        <w:t xml:space="preserve">. </w:t>
      </w:r>
    </w:p>
    <w:p w14:paraId="0FEB60CB" w14:textId="77777777" w:rsidR="007715E7" w:rsidRPr="00D40192" w:rsidRDefault="007715E7" w:rsidP="007715E7">
      <w:pPr>
        <w:tabs>
          <w:tab w:val="left" w:pos="540"/>
        </w:tabs>
        <w:spacing w:after="0" w:line="240" w:lineRule="auto"/>
        <w:jc w:val="both"/>
        <w:rPr>
          <w:rFonts w:ascii="Verdana" w:hAnsi="Verdana" w:cs="Arial"/>
          <w:bCs/>
          <w:sz w:val="20"/>
          <w:szCs w:val="20"/>
        </w:rPr>
      </w:pPr>
    </w:p>
    <w:p w14:paraId="3E4DB599" w14:textId="53B2DD94" w:rsidR="000024DE" w:rsidRPr="00D40192" w:rsidRDefault="0060639E" w:rsidP="007715E7">
      <w:pPr>
        <w:pStyle w:val="Prrafodelista"/>
        <w:numPr>
          <w:ilvl w:val="0"/>
          <w:numId w:val="25"/>
        </w:numPr>
        <w:tabs>
          <w:tab w:val="left" w:pos="540"/>
        </w:tabs>
        <w:spacing w:after="0" w:line="240" w:lineRule="auto"/>
        <w:ind w:left="284" w:hanging="284"/>
        <w:jc w:val="both"/>
        <w:rPr>
          <w:rFonts w:ascii="Verdana" w:hAnsi="Verdana" w:cs="Arial"/>
          <w:bCs/>
          <w:sz w:val="20"/>
          <w:szCs w:val="20"/>
        </w:rPr>
      </w:pPr>
      <w:r w:rsidRPr="00D40192">
        <w:rPr>
          <w:rFonts w:ascii="Verdana" w:hAnsi="Verdana" w:cs="Arial"/>
          <w:b/>
          <w:bCs/>
          <w:sz w:val="20"/>
          <w:szCs w:val="20"/>
        </w:rPr>
        <w:t xml:space="preserve">Cálculo de la suma a cubrir por la sociedad administradora en caso de no cumplir con la rentabilidad acumulada mínima obligatoria. </w:t>
      </w:r>
    </w:p>
    <w:p w14:paraId="46279DF5" w14:textId="77777777" w:rsidR="007715E7" w:rsidRPr="00D40192" w:rsidRDefault="007715E7" w:rsidP="000024DE">
      <w:pPr>
        <w:tabs>
          <w:tab w:val="left" w:pos="540"/>
        </w:tabs>
        <w:spacing w:after="0" w:line="240" w:lineRule="auto"/>
        <w:jc w:val="both"/>
        <w:rPr>
          <w:rFonts w:ascii="Verdana" w:hAnsi="Verdana" w:cs="Arial"/>
          <w:bCs/>
          <w:sz w:val="20"/>
          <w:szCs w:val="20"/>
        </w:rPr>
      </w:pPr>
    </w:p>
    <w:p w14:paraId="0C30A1FF" w14:textId="52C654CE" w:rsidR="000024DE" w:rsidRPr="00D40192" w:rsidRDefault="00855EEC" w:rsidP="000024DE">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024DE" w:rsidRPr="00D40192">
        <w:rPr>
          <w:rFonts w:ascii="Verdana" w:hAnsi="Verdana" w:cs="Arial"/>
          <w:bCs/>
          <w:sz w:val="20"/>
          <w:szCs w:val="20"/>
        </w:rPr>
        <w:t>1.1</w:t>
      </w:r>
      <w:r w:rsidR="00940C50" w:rsidRPr="00D40192">
        <w:rPr>
          <w:rFonts w:ascii="Verdana" w:hAnsi="Verdana" w:cs="Arial"/>
          <w:bCs/>
          <w:sz w:val="20"/>
          <w:szCs w:val="20"/>
        </w:rPr>
        <w:t>4</w:t>
      </w:r>
      <w:r w:rsidR="000024DE" w:rsidRPr="00D40192">
        <w:rPr>
          <w:rFonts w:ascii="Verdana" w:hAnsi="Verdana" w:cs="Arial"/>
          <w:bCs/>
          <w:sz w:val="20"/>
          <w:szCs w:val="20"/>
        </w:rPr>
        <w:t>.</w:t>
      </w:r>
    </w:p>
    <w:p w14:paraId="2123E790" w14:textId="77777777" w:rsidR="000024DE" w:rsidRPr="00D40192" w:rsidRDefault="0060639E" w:rsidP="000024DE">
      <w:pPr>
        <w:jc w:val="both"/>
        <w:rPr>
          <w:rFonts w:ascii="Verdana" w:hAnsi="Verdana" w:cs="Arial"/>
          <w:sz w:val="20"/>
          <w:szCs w:val="20"/>
        </w:rPr>
      </w:pPr>
      <w:r w:rsidRPr="00D40192">
        <w:rPr>
          <w:rFonts w:ascii="Verdana" w:hAnsi="Verdana" w:cs="Arial"/>
          <w:sz w:val="20"/>
          <w:szCs w:val="20"/>
        </w:rPr>
        <w:t>Si no se alcanzó la rentabilidad acumulada mínima obligatoria durante el período de cálculo, la sociedad administradora debe determinar el nuevo valor del tipo de fondo de pensiones o portafolio de corto o largo plazo del fondo de cesantía con el cual se cumple con la rentabilidad requerida.</w:t>
      </w:r>
      <w:r w:rsidR="006E7C25" w:rsidRPr="00D40192">
        <w:rPr>
          <w:rFonts w:ascii="Verdana" w:hAnsi="Verdana" w:cs="Arial"/>
          <w:sz w:val="20"/>
          <w:szCs w:val="20"/>
        </w:rPr>
        <w:t xml:space="preserve"> </w:t>
      </w:r>
    </w:p>
    <w:p w14:paraId="79774DFC" w14:textId="0F8A0E33" w:rsidR="000024DE" w:rsidRPr="00D40192" w:rsidRDefault="00855EEC" w:rsidP="000024DE">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024DE" w:rsidRPr="00D40192">
        <w:rPr>
          <w:rFonts w:ascii="Verdana" w:hAnsi="Verdana" w:cs="Arial"/>
          <w:bCs/>
          <w:sz w:val="20"/>
          <w:szCs w:val="20"/>
        </w:rPr>
        <w:t>1.1</w:t>
      </w:r>
      <w:r w:rsidR="00940C50" w:rsidRPr="00D40192">
        <w:rPr>
          <w:rFonts w:ascii="Verdana" w:hAnsi="Verdana" w:cs="Arial"/>
          <w:bCs/>
          <w:sz w:val="20"/>
          <w:szCs w:val="20"/>
        </w:rPr>
        <w:t>5</w:t>
      </w:r>
      <w:r w:rsidR="000024DE" w:rsidRPr="00D40192">
        <w:rPr>
          <w:rFonts w:ascii="Verdana" w:hAnsi="Verdana" w:cs="Arial"/>
          <w:bCs/>
          <w:sz w:val="20"/>
          <w:szCs w:val="20"/>
        </w:rPr>
        <w:t>.</w:t>
      </w:r>
    </w:p>
    <w:p w14:paraId="19642FD4" w14:textId="46F431B6" w:rsidR="0060639E" w:rsidRPr="00D40192" w:rsidRDefault="0060639E" w:rsidP="000024DE">
      <w:pPr>
        <w:jc w:val="both"/>
        <w:rPr>
          <w:rFonts w:ascii="Verdana" w:hAnsi="Verdana" w:cs="Arial"/>
          <w:sz w:val="20"/>
          <w:szCs w:val="20"/>
        </w:rPr>
      </w:pPr>
      <w:r w:rsidRPr="00D40192">
        <w:rPr>
          <w:rFonts w:ascii="Verdana" w:hAnsi="Verdana" w:cs="Arial"/>
          <w:sz w:val="20"/>
          <w:szCs w:val="20"/>
        </w:rPr>
        <w:t xml:space="preserve">El valor de la suma por la cual debe responder la sociedad administradora con cargo a su propio patrimonio corresponde a la diferencia entre el nuevo valor del tipo de fondo o portafolio, según el caso, con el cual se cumple la rentabilidad acumulada mínima obligatoria y el valor del tipo de fondo o portafolio a la fecha de cierre, según la siguiente formula: </w:t>
      </w:r>
    </w:p>
    <w:p w14:paraId="36C1FE90" w14:textId="687430FF" w:rsidR="00813493" w:rsidRPr="00D40192" w:rsidRDefault="00813493" w:rsidP="0060639E">
      <w:pPr>
        <w:jc w:val="center"/>
        <w:rPr>
          <w:rFonts w:ascii="Verdana" w:hAnsi="Verdana" w:cs="Arial"/>
          <w:sz w:val="20"/>
          <w:szCs w:val="20"/>
        </w:rPr>
      </w:pPr>
      <m:oMathPara>
        <m:oMath>
          <m:r>
            <w:rPr>
              <w:rFonts w:ascii="Cambria Math" w:hAnsi="Cambria Math" w:cs="Arial"/>
              <w:sz w:val="20"/>
              <w:szCs w:val="20"/>
            </w:rPr>
            <m:t>SA</m:t>
          </m:r>
          <m:r>
            <m:rPr>
              <m:sty m:val="p"/>
            </m:rPr>
            <w:rPr>
              <w:rFonts w:ascii="Cambria Math" w:hAnsi="Cambria Math" w:cs="Arial"/>
              <w:sz w:val="20"/>
              <w:szCs w:val="20"/>
            </w:rPr>
            <m:t>=NVF-VFC</m:t>
          </m:r>
        </m:oMath>
      </m:oMathPara>
    </w:p>
    <w:p w14:paraId="6978211D" w14:textId="4458E42A" w:rsidR="0060639E" w:rsidRPr="00D40192" w:rsidRDefault="00B9241B" w:rsidP="00F13BF2">
      <w:pPr>
        <w:ind w:firstLine="3"/>
        <w:jc w:val="both"/>
        <w:rPr>
          <w:rFonts w:ascii="Verdana" w:hAnsi="Verdana" w:cs="Arial"/>
          <w:sz w:val="20"/>
          <w:szCs w:val="20"/>
        </w:rPr>
      </w:pPr>
      <m:oMath>
        <m:r>
          <w:rPr>
            <w:rFonts w:ascii="Cambria Math" w:hAnsi="Cambria Math" w:cs="Arial"/>
            <w:sz w:val="20"/>
            <w:szCs w:val="20"/>
          </w:rPr>
          <m:t>SA</m:t>
        </m:r>
      </m:oMath>
      <w:r>
        <w:rPr>
          <w:rFonts w:ascii="Verdana" w:hAnsi="Verdana" w:cs="Arial"/>
          <w:sz w:val="20"/>
          <w:szCs w:val="20"/>
        </w:rPr>
        <w:t xml:space="preserve">: es </w:t>
      </w:r>
      <w:proofErr w:type="gramStart"/>
      <w:r w:rsidR="00E87210">
        <w:rPr>
          <w:rFonts w:ascii="Verdana" w:hAnsi="Verdana" w:cs="Arial"/>
          <w:sz w:val="20"/>
          <w:szCs w:val="20"/>
        </w:rPr>
        <w:t>la suma a abonar</w:t>
      </w:r>
      <w:proofErr w:type="gramEnd"/>
      <w:r w:rsidR="0060639E" w:rsidRPr="00D40192">
        <w:rPr>
          <w:rFonts w:ascii="Verdana" w:hAnsi="Verdana" w:cs="Arial"/>
          <w:sz w:val="20"/>
          <w:szCs w:val="20"/>
        </w:rPr>
        <w:t xml:space="preserve"> al tipo de fondo o portafolio cuando no se alcance la rentabilidad acumulada mínima obligatoria.</w:t>
      </w:r>
    </w:p>
    <w:p w14:paraId="1F552671" w14:textId="4DF3C5CA" w:rsidR="0060639E" w:rsidRPr="00D40192" w:rsidRDefault="00F13BF2" w:rsidP="00F13BF2">
      <w:pPr>
        <w:jc w:val="both"/>
        <w:rPr>
          <w:rFonts w:ascii="Verdana" w:hAnsi="Verdana" w:cs="Arial"/>
          <w:sz w:val="20"/>
          <w:szCs w:val="20"/>
        </w:rPr>
      </w:pPr>
      <m:oMath>
        <m:r>
          <w:rPr>
            <w:rFonts w:ascii="Cambria Math" w:hAnsi="Cambria Math" w:cs="Arial"/>
            <w:sz w:val="20"/>
            <w:szCs w:val="20"/>
          </w:rPr>
          <m:t>NVF</m:t>
        </m:r>
      </m:oMath>
      <w:r w:rsidR="00B9241B">
        <w:rPr>
          <w:rFonts w:ascii="Verdana" w:eastAsiaTheme="minorEastAsia" w:hAnsi="Verdana" w:cs="Arial"/>
          <w:sz w:val="20"/>
          <w:szCs w:val="20"/>
        </w:rPr>
        <w:t xml:space="preserve">: es el </w:t>
      </w:r>
      <w:r w:rsidR="00B9241B">
        <w:rPr>
          <w:rFonts w:ascii="Verdana" w:hAnsi="Verdana" w:cs="Arial"/>
          <w:sz w:val="20"/>
          <w:szCs w:val="20"/>
        </w:rPr>
        <w:t>v</w:t>
      </w:r>
      <w:r w:rsidR="0060639E" w:rsidRPr="00D40192">
        <w:rPr>
          <w:rFonts w:ascii="Verdana" w:hAnsi="Verdana" w:cs="Arial"/>
          <w:sz w:val="20"/>
          <w:szCs w:val="20"/>
        </w:rPr>
        <w:t>alor del tipo de fondo o portafolio al cierre del período de verificación con el cual se cumple la rentabilidad acumulada mínima obligatoria.</w:t>
      </w:r>
    </w:p>
    <w:p w14:paraId="2EA85C62" w14:textId="27505472" w:rsidR="0060639E" w:rsidRPr="00D40192" w:rsidRDefault="00F13BF2" w:rsidP="00F13BF2">
      <w:pPr>
        <w:jc w:val="both"/>
        <w:rPr>
          <w:rFonts w:ascii="Verdana" w:hAnsi="Verdana" w:cs="Arial"/>
          <w:sz w:val="20"/>
          <w:szCs w:val="20"/>
        </w:rPr>
      </w:pPr>
      <m:oMath>
        <m:r>
          <w:rPr>
            <w:rFonts w:ascii="Cambria Math" w:hAnsi="Cambria Math" w:cs="Arial"/>
            <w:sz w:val="20"/>
            <w:szCs w:val="20"/>
          </w:rPr>
          <m:t>VFC</m:t>
        </m:r>
      </m:oMath>
      <w:r w:rsidR="00B9241B">
        <w:rPr>
          <w:rFonts w:ascii="Verdana" w:hAnsi="Verdana" w:cs="Arial"/>
          <w:sz w:val="20"/>
          <w:szCs w:val="20"/>
        </w:rPr>
        <w:t xml:space="preserve">: es </w:t>
      </w:r>
      <w:r w:rsidR="00E87210">
        <w:rPr>
          <w:rFonts w:ascii="Verdana" w:hAnsi="Verdana" w:cs="Arial"/>
          <w:sz w:val="20"/>
          <w:szCs w:val="20"/>
        </w:rPr>
        <w:t>el valor del</w:t>
      </w:r>
      <w:r w:rsidR="0060639E" w:rsidRPr="00D40192">
        <w:rPr>
          <w:rFonts w:ascii="Verdana" w:hAnsi="Verdana" w:cs="Arial"/>
          <w:sz w:val="20"/>
          <w:szCs w:val="20"/>
        </w:rPr>
        <w:t xml:space="preserve"> tipo de fondo o portafolio al cierre del período de verificación con el cual se obtuvo la rentabilidad acumulada del fondo.</w:t>
      </w:r>
    </w:p>
    <w:p w14:paraId="00E3AADB" w14:textId="77777777" w:rsidR="005B4741" w:rsidRPr="00D40192" w:rsidRDefault="005B4741" w:rsidP="00EC4A20">
      <w:pPr>
        <w:ind w:left="709" w:hanging="709"/>
        <w:jc w:val="both"/>
        <w:rPr>
          <w:rFonts w:ascii="Verdana" w:hAnsi="Verdana" w:cs="Arial"/>
          <w:sz w:val="20"/>
          <w:szCs w:val="20"/>
        </w:rPr>
      </w:pPr>
    </w:p>
    <w:p w14:paraId="6C480D6F" w14:textId="68F91943" w:rsidR="0019791D" w:rsidRPr="00D40192" w:rsidRDefault="0060639E" w:rsidP="002B7109">
      <w:pPr>
        <w:pStyle w:val="Prrafodelista"/>
        <w:numPr>
          <w:ilvl w:val="0"/>
          <w:numId w:val="27"/>
        </w:numPr>
        <w:ind w:left="567" w:hanging="283"/>
        <w:jc w:val="both"/>
        <w:rPr>
          <w:rFonts w:ascii="Verdana" w:hAnsi="Verdana" w:cs="Arial"/>
          <w:b/>
          <w:bCs/>
          <w:sz w:val="20"/>
          <w:szCs w:val="20"/>
        </w:rPr>
      </w:pPr>
      <w:r w:rsidRPr="00D40192">
        <w:rPr>
          <w:rFonts w:ascii="Verdana" w:hAnsi="Verdana" w:cs="Arial"/>
          <w:b/>
          <w:bCs/>
          <w:sz w:val="20"/>
          <w:szCs w:val="20"/>
        </w:rPr>
        <w:t>Suma a cubrir en los tipos de fondos de pensiones</w:t>
      </w:r>
    </w:p>
    <w:p w14:paraId="43EE1DDC" w14:textId="0AE52F63" w:rsidR="0019791D" w:rsidRPr="00D40192" w:rsidRDefault="00855EEC" w:rsidP="000A74D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19791D" w:rsidRPr="00D40192">
        <w:rPr>
          <w:rFonts w:ascii="Verdana" w:hAnsi="Verdana" w:cs="Arial"/>
          <w:bCs/>
          <w:sz w:val="20"/>
          <w:szCs w:val="20"/>
        </w:rPr>
        <w:t>1.1</w:t>
      </w:r>
      <w:r w:rsidR="00940C50" w:rsidRPr="00D40192">
        <w:rPr>
          <w:rFonts w:ascii="Verdana" w:hAnsi="Verdana" w:cs="Arial"/>
          <w:bCs/>
          <w:sz w:val="20"/>
          <w:szCs w:val="20"/>
        </w:rPr>
        <w:t>6</w:t>
      </w:r>
      <w:r w:rsidR="0019791D" w:rsidRPr="00D40192">
        <w:rPr>
          <w:rFonts w:ascii="Verdana" w:hAnsi="Verdana" w:cs="Arial"/>
          <w:bCs/>
          <w:sz w:val="20"/>
          <w:szCs w:val="20"/>
        </w:rPr>
        <w:t>.</w:t>
      </w:r>
    </w:p>
    <w:p w14:paraId="4E8CD7B9" w14:textId="77777777" w:rsidR="000A74D4" w:rsidRPr="00D40192" w:rsidRDefault="0060639E" w:rsidP="000A74D4">
      <w:pPr>
        <w:jc w:val="both"/>
        <w:rPr>
          <w:rFonts w:ascii="Verdana" w:hAnsi="Verdana" w:cs="Arial"/>
          <w:sz w:val="20"/>
          <w:szCs w:val="20"/>
        </w:rPr>
      </w:pPr>
      <w:r w:rsidRPr="00D40192">
        <w:rPr>
          <w:rFonts w:ascii="Verdana" w:hAnsi="Verdana" w:cs="Arial"/>
          <w:sz w:val="20"/>
          <w:szCs w:val="20"/>
        </w:rPr>
        <w:t>El valor por cubrir por la sociedad administradora será el equivalente a la suma a abonar “SA”. Dicho valor debe ser girado en efectivo al tipo de fondo en un plazo máximo de 5 días comunes contados a partir del día en que se divulgue la rentabilidad acumulada mínima obligatoria por parte de la Superintendencia Financiera de Colombia. Esta suma debe ser registrada el último día del período de verificación para alcanzar la rentabilidad mínima, con abono al código del CUIF correspondiente hasta tanto sea girada al fondo.</w:t>
      </w:r>
    </w:p>
    <w:p w14:paraId="06EAE6CC" w14:textId="52D0252D" w:rsidR="0019791D" w:rsidRPr="00D40192" w:rsidRDefault="0060639E" w:rsidP="002B7109">
      <w:pPr>
        <w:pStyle w:val="Prrafodelista"/>
        <w:numPr>
          <w:ilvl w:val="0"/>
          <w:numId w:val="27"/>
        </w:numPr>
        <w:ind w:left="567" w:hanging="283"/>
        <w:jc w:val="both"/>
        <w:rPr>
          <w:rFonts w:ascii="Verdana" w:hAnsi="Verdana" w:cs="Arial"/>
          <w:b/>
          <w:bCs/>
          <w:sz w:val="20"/>
          <w:szCs w:val="20"/>
        </w:rPr>
      </w:pPr>
      <w:r w:rsidRPr="00D40192">
        <w:rPr>
          <w:rFonts w:ascii="Verdana" w:hAnsi="Verdana" w:cs="Arial"/>
          <w:b/>
          <w:bCs/>
          <w:sz w:val="20"/>
          <w:szCs w:val="20"/>
        </w:rPr>
        <w:t>Suma a cubrir en los portafolios de corto y de largo plazo del fondo de cesantía</w:t>
      </w:r>
    </w:p>
    <w:p w14:paraId="7CA4CC77" w14:textId="602469AC" w:rsidR="0019791D" w:rsidRPr="00D40192" w:rsidRDefault="00855EEC" w:rsidP="000A74D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19791D" w:rsidRPr="00D40192">
        <w:rPr>
          <w:rFonts w:ascii="Verdana" w:hAnsi="Verdana" w:cs="Arial"/>
          <w:bCs/>
          <w:sz w:val="20"/>
          <w:szCs w:val="20"/>
        </w:rPr>
        <w:t>1.1</w:t>
      </w:r>
      <w:r w:rsidR="00940C50" w:rsidRPr="00D40192">
        <w:rPr>
          <w:rFonts w:ascii="Verdana" w:hAnsi="Verdana" w:cs="Arial"/>
          <w:bCs/>
          <w:sz w:val="20"/>
          <w:szCs w:val="20"/>
        </w:rPr>
        <w:t>7</w:t>
      </w:r>
      <w:r w:rsidR="0019791D" w:rsidRPr="00D40192">
        <w:rPr>
          <w:rFonts w:ascii="Verdana" w:hAnsi="Verdana" w:cs="Arial"/>
          <w:bCs/>
          <w:sz w:val="20"/>
          <w:szCs w:val="20"/>
        </w:rPr>
        <w:t>.</w:t>
      </w:r>
    </w:p>
    <w:p w14:paraId="29F69C99" w14:textId="57703695" w:rsidR="0060639E" w:rsidRPr="00D40192" w:rsidRDefault="0060639E" w:rsidP="000A74D4">
      <w:pPr>
        <w:jc w:val="both"/>
        <w:rPr>
          <w:rFonts w:ascii="Verdana" w:hAnsi="Verdana" w:cs="Arial"/>
          <w:sz w:val="20"/>
          <w:szCs w:val="20"/>
        </w:rPr>
      </w:pPr>
      <w:r w:rsidRPr="00D40192">
        <w:rPr>
          <w:rFonts w:ascii="Verdana" w:hAnsi="Verdana" w:cs="Arial"/>
          <w:sz w:val="20"/>
          <w:szCs w:val="20"/>
        </w:rPr>
        <w:t>Si el valor “SA” es inferior al saldo de las cuentas por pagar por concepto de comisión por administración del portafolio y comisión retiros parciales, dicha suma se descuenta, el último día del mes de verificación, inicialmente de la cuenta por pagar por concepto de comisión por administración y posteriormente de la comisión por retiros parciales, con abono al código del CUIF correspondiente, pudiendo efectuar la administradora el cobro de la suma restante de las comisiones por pagar.</w:t>
      </w:r>
    </w:p>
    <w:p w14:paraId="1EC07168" w14:textId="6E0778C1" w:rsidR="001773D6" w:rsidRPr="00D40192" w:rsidRDefault="00855EEC" w:rsidP="000A74D4">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1773D6" w:rsidRPr="00D40192">
        <w:rPr>
          <w:rFonts w:ascii="Verdana" w:hAnsi="Verdana" w:cs="Arial"/>
          <w:bCs/>
          <w:sz w:val="20"/>
          <w:szCs w:val="20"/>
        </w:rPr>
        <w:t>1.1</w:t>
      </w:r>
      <w:r w:rsidR="00940C50" w:rsidRPr="00D40192">
        <w:rPr>
          <w:rFonts w:ascii="Verdana" w:hAnsi="Verdana" w:cs="Arial"/>
          <w:bCs/>
          <w:sz w:val="20"/>
          <w:szCs w:val="20"/>
        </w:rPr>
        <w:t>8</w:t>
      </w:r>
      <w:r w:rsidR="001773D6" w:rsidRPr="00D40192">
        <w:rPr>
          <w:rFonts w:ascii="Verdana" w:hAnsi="Verdana" w:cs="Arial"/>
          <w:bCs/>
          <w:sz w:val="20"/>
          <w:szCs w:val="20"/>
        </w:rPr>
        <w:t>.</w:t>
      </w:r>
    </w:p>
    <w:p w14:paraId="2AF1F042" w14:textId="13A32EDE" w:rsidR="0060639E" w:rsidRPr="00D40192" w:rsidRDefault="0060639E" w:rsidP="000A74D4">
      <w:pPr>
        <w:pStyle w:val="Prrafodelista"/>
        <w:ind w:left="0"/>
        <w:jc w:val="both"/>
        <w:rPr>
          <w:rFonts w:ascii="Verdana" w:hAnsi="Verdana" w:cs="Arial"/>
          <w:sz w:val="20"/>
          <w:szCs w:val="20"/>
        </w:rPr>
      </w:pPr>
      <w:r w:rsidRPr="00D40192">
        <w:rPr>
          <w:rFonts w:ascii="Verdana" w:hAnsi="Verdana" w:cs="Arial"/>
          <w:sz w:val="20"/>
          <w:szCs w:val="20"/>
        </w:rPr>
        <w:t xml:space="preserve">Si el valor “SA” es superior al saldo de la cuenta por pagar por concepto de comisión por administración del portafolio y comisión retiros parciales, la sociedad administradora debe cubrir en efectivo dicha diferencia a favor del portafolio en un plazo máximo de </w:t>
      </w:r>
      <w:r w:rsidR="007B0B01" w:rsidRPr="00D40192">
        <w:rPr>
          <w:rFonts w:ascii="Verdana" w:hAnsi="Verdana" w:cs="Arial"/>
          <w:sz w:val="20"/>
          <w:szCs w:val="20"/>
        </w:rPr>
        <w:t>5</w:t>
      </w:r>
      <w:r w:rsidRPr="00D40192">
        <w:rPr>
          <w:rFonts w:ascii="Verdana" w:hAnsi="Verdana" w:cs="Arial"/>
          <w:sz w:val="20"/>
          <w:szCs w:val="20"/>
        </w:rPr>
        <w:t xml:space="preserve"> días comunes contados a partir del día en que se divulgue la rentabilidad acumulada mínima obligatoria por parte de la Superintendencia Financiera de Colombia. Esta suma se registra el último día del mes para alcanzar la rentabilidad mínima-, con abono al código correspondiente hasta tanto sea girada al portafolio.</w:t>
      </w:r>
    </w:p>
    <w:p w14:paraId="35AB5686" w14:textId="7E3F31BC" w:rsidR="0060639E" w:rsidRPr="00D40192" w:rsidRDefault="0060639E" w:rsidP="0060639E">
      <w:pPr>
        <w:jc w:val="both"/>
        <w:rPr>
          <w:rFonts w:ascii="Verdana" w:hAnsi="Verdana" w:cs="Arial"/>
          <w:b/>
          <w:bCs/>
          <w:sz w:val="20"/>
          <w:szCs w:val="20"/>
        </w:rPr>
      </w:pPr>
      <w:r w:rsidRPr="00D40192">
        <w:rPr>
          <w:rFonts w:ascii="Verdana" w:hAnsi="Verdana" w:cs="Arial"/>
          <w:b/>
          <w:bCs/>
          <w:sz w:val="20"/>
          <w:szCs w:val="20"/>
        </w:rPr>
        <w:t>Causación comisión por concepto de administración por tipo de fondo de pensiones obligatorias</w:t>
      </w:r>
    </w:p>
    <w:p w14:paraId="40C6CD47" w14:textId="206C7936" w:rsidR="001D2862" w:rsidRPr="00D40192" w:rsidRDefault="00855EEC" w:rsidP="001D2862">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1D2862" w:rsidRPr="00D40192">
        <w:rPr>
          <w:rFonts w:ascii="Verdana" w:hAnsi="Verdana" w:cs="Arial"/>
          <w:bCs/>
          <w:sz w:val="20"/>
          <w:szCs w:val="20"/>
        </w:rPr>
        <w:t>1.1</w:t>
      </w:r>
      <w:r w:rsidR="00940C50" w:rsidRPr="00D40192">
        <w:rPr>
          <w:rFonts w:ascii="Verdana" w:hAnsi="Verdana" w:cs="Arial"/>
          <w:bCs/>
          <w:sz w:val="20"/>
          <w:szCs w:val="20"/>
        </w:rPr>
        <w:t>9</w:t>
      </w:r>
      <w:r w:rsidR="001D2862" w:rsidRPr="00D40192">
        <w:rPr>
          <w:rFonts w:ascii="Verdana" w:hAnsi="Verdana" w:cs="Arial"/>
          <w:bCs/>
          <w:sz w:val="20"/>
          <w:szCs w:val="20"/>
        </w:rPr>
        <w:t>.</w:t>
      </w:r>
    </w:p>
    <w:p w14:paraId="26CB8C57" w14:textId="77777777" w:rsidR="0060639E" w:rsidRPr="00D40192" w:rsidRDefault="0060639E" w:rsidP="0060639E">
      <w:pPr>
        <w:jc w:val="both"/>
        <w:rPr>
          <w:rFonts w:ascii="Verdana" w:hAnsi="Verdana" w:cs="Arial"/>
          <w:sz w:val="20"/>
          <w:szCs w:val="20"/>
        </w:rPr>
      </w:pPr>
      <w:r w:rsidRPr="00D40192">
        <w:rPr>
          <w:rFonts w:ascii="Verdana" w:hAnsi="Verdana" w:cs="Arial"/>
          <w:sz w:val="20"/>
          <w:szCs w:val="20"/>
        </w:rPr>
        <w:t xml:space="preserve">Con el propósito de contar con un procedimiento uniforme para todas las administradoras de pensiones en la </w:t>
      </w:r>
      <w:proofErr w:type="spellStart"/>
      <w:r w:rsidRPr="00D40192">
        <w:rPr>
          <w:rFonts w:ascii="Verdana" w:hAnsi="Verdana" w:cs="Arial"/>
          <w:sz w:val="20"/>
          <w:szCs w:val="20"/>
        </w:rPr>
        <w:t>causación</w:t>
      </w:r>
      <w:proofErr w:type="spellEnd"/>
      <w:r w:rsidRPr="00D40192">
        <w:rPr>
          <w:rFonts w:ascii="Verdana" w:hAnsi="Verdana" w:cs="Arial"/>
          <w:sz w:val="20"/>
          <w:szCs w:val="20"/>
        </w:rPr>
        <w:t xml:space="preserve"> del ingreso por la comisión por concepto de administración, las entidades deben aplicar las siguientes instrucciones:</w:t>
      </w:r>
    </w:p>
    <w:p w14:paraId="2A1AF5EE" w14:textId="6D582D52" w:rsidR="0060639E" w:rsidRPr="00D40192" w:rsidRDefault="0060639E" w:rsidP="00072835">
      <w:pPr>
        <w:pStyle w:val="Prrafodelista"/>
        <w:numPr>
          <w:ilvl w:val="0"/>
          <w:numId w:val="13"/>
        </w:numPr>
        <w:ind w:left="567" w:hanging="567"/>
        <w:jc w:val="both"/>
        <w:rPr>
          <w:rFonts w:ascii="Verdana" w:hAnsi="Verdana" w:cs="Arial"/>
          <w:sz w:val="20"/>
          <w:szCs w:val="20"/>
        </w:rPr>
      </w:pPr>
      <w:r w:rsidRPr="00D40192">
        <w:rPr>
          <w:rFonts w:ascii="Verdana" w:hAnsi="Verdana" w:cs="Arial"/>
          <w:sz w:val="20"/>
          <w:szCs w:val="20"/>
        </w:rPr>
        <w:t>En la cuenta correspondiente del CUIF las sociedades administradoras deben registrar el valor de la comisión por concepto de administración de los tipos de fondos, una vez los aportes que la originaron hayan sido abonados a la respectiva cuenta individual de ahorro pensional de cada afiliado.</w:t>
      </w:r>
    </w:p>
    <w:p w14:paraId="3A0043C8" w14:textId="77777777" w:rsidR="006732B3" w:rsidRPr="00D40192" w:rsidRDefault="006732B3" w:rsidP="006732B3">
      <w:pPr>
        <w:pStyle w:val="Prrafodelista"/>
        <w:ind w:left="567"/>
        <w:jc w:val="both"/>
        <w:rPr>
          <w:rFonts w:ascii="Verdana" w:hAnsi="Verdana" w:cs="Arial"/>
          <w:sz w:val="20"/>
          <w:szCs w:val="20"/>
        </w:rPr>
      </w:pPr>
    </w:p>
    <w:p w14:paraId="675977D0" w14:textId="68E742BF" w:rsidR="0060639E" w:rsidRPr="00D40192" w:rsidRDefault="0060639E" w:rsidP="004B0DAD">
      <w:pPr>
        <w:pStyle w:val="Prrafodelista"/>
        <w:numPr>
          <w:ilvl w:val="0"/>
          <w:numId w:val="13"/>
        </w:numPr>
        <w:ind w:left="567" w:hanging="567"/>
        <w:jc w:val="both"/>
        <w:rPr>
          <w:rFonts w:ascii="Verdana" w:hAnsi="Verdana" w:cs="Arial"/>
          <w:b/>
          <w:sz w:val="20"/>
          <w:szCs w:val="20"/>
        </w:rPr>
      </w:pPr>
      <w:r w:rsidRPr="00D40192">
        <w:rPr>
          <w:rFonts w:ascii="Verdana" w:hAnsi="Verdana" w:cs="Arial"/>
          <w:sz w:val="20"/>
          <w:szCs w:val="20"/>
        </w:rPr>
        <w:t xml:space="preserve">Teniendo en cuenta que el valor causado por concepto de comisión por trasladar a la sociedad administradora en la contabilidad del tipo de fondo de pensiones obligatorias moderado debe traducirse en unidades, en tanto que la </w:t>
      </w:r>
      <w:proofErr w:type="spellStart"/>
      <w:r w:rsidRPr="00D40192">
        <w:rPr>
          <w:rFonts w:ascii="Verdana" w:hAnsi="Verdana" w:cs="Arial"/>
          <w:sz w:val="20"/>
          <w:szCs w:val="20"/>
        </w:rPr>
        <w:t>causación</w:t>
      </w:r>
      <w:proofErr w:type="spellEnd"/>
      <w:r w:rsidRPr="00D40192">
        <w:rPr>
          <w:rFonts w:ascii="Verdana" w:hAnsi="Verdana" w:cs="Arial"/>
          <w:sz w:val="20"/>
          <w:szCs w:val="20"/>
        </w:rPr>
        <w:t xml:space="preserve"> de dicho ingreso en la contabilidad de la sociedad debe efectuarse por el valor registrado en el formulario de autoliquidación de aportes, los saldos de dichas cuentas no coinciden, en razón a que el primero se encuentra incrementado por el abono de los rendimientos diarios. No obstante, al momento de ser trasladado a la administradora debe hacerse por el valor recibido y no por las unidades valoradas.</w:t>
      </w:r>
    </w:p>
    <w:p w14:paraId="73DF99AE" w14:textId="5F27EFF4" w:rsidR="0060639E" w:rsidRPr="00D40192" w:rsidRDefault="0060639E" w:rsidP="0060639E">
      <w:pPr>
        <w:jc w:val="both"/>
        <w:rPr>
          <w:rFonts w:ascii="Verdana" w:hAnsi="Verdana" w:cs="Arial"/>
          <w:b/>
          <w:bCs/>
          <w:sz w:val="20"/>
          <w:szCs w:val="20"/>
        </w:rPr>
      </w:pPr>
      <w:r w:rsidRPr="00D40192">
        <w:rPr>
          <w:rFonts w:ascii="Verdana" w:hAnsi="Verdana" w:cs="Arial"/>
          <w:b/>
          <w:bCs/>
          <w:sz w:val="20"/>
          <w:szCs w:val="20"/>
        </w:rPr>
        <w:t>Comisión de manejo por administración de los portafolios de corto y largo plazo del fondo de cesantía</w:t>
      </w:r>
      <w:r w:rsidR="002A4657" w:rsidRPr="00D40192">
        <w:rPr>
          <w:rFonts w:ascii="Verdana" w:hAnsi="Verdana" w:cs="Arial"/>
          <w:b/>
          <w:bCs/>
          <w:sz w:val="20"/>
          <w:szCs w:val="20"/>
        </w:rPr>
        <w:t>:</w:t>
      </w:r>
      <w:r w:rsidRPr="00D40192">
        <w:rPr>
          <w:rFonts w:ascii="Verdana" w:hAnsi="Verdana" w:cs="Arial"/>
          <w:b/>
          <w:bCs/>
          <w:sz w:val="20"/>
          <w:szCs w:val="20"/>
        </w:rPr>
        <w:t xml:space="preserve"> base de aplicación de la comisión.</w:t>
      </w:r>
    </w:p>
    <w:p w14:paraId="3B6F21BD" w14:textId="5C11A9EE" w:rsidR="00523048" w:rsidRPr="00D40192" w:rsidRDefault="00855EEC" w:rsidP="00523048">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523048" w:rsidRPr="00D40192">
        <w:rPr>
          <w:rFonts w:ascii="Verdana" w:hAnsi="Verdana" w:cs="Arial"/>
          <w:bCs/>
          <w:sz w:val="20"/>
          <w:szCs w:val="20"/>
        </w:rPr>
        <w:t>1.</w:t>
      </w:r>
      <w:r w:rsidR="00940C50" w:rsidRPr="00D40192">
        <w:rPr>
          <w:rFonts w:ascii="Verdana" w:hAnsi="Verdana" w:cs="Arial"/>
          <w:bCs/>
          <w:sz w:val="20"/>
          <w:szCs w:val="20"/>
        </w:rPr>
        <w:t>20</w:t>
      </w:r>
      <w:r w:rsidR="00523048" w:rsidRPr="00D40192">
        <w:rPr>
          <w:rFonts w:ascii="Verdana" w:hAnsi="Verdana" w:cs="Arial"/>
          <w:bCs/>
          <w:sz w:val="20"/>
          <w:szCs w:val="20"/>
        </w:rPr>
        <w:t>.</w:t>
      </w:r>
    </w:p>
    <w:p w14:paraId="64178F16" w14:textId="04430A07" w:rsidR="0060639E" w:rsidRPr="00D40192" w:rsidRDefault="0060639E" w:rsidP="0060639E">
      <w:pPr>
        <w:jc w:val="both"/>
        <w:rPr>
          <w:rFonts w:ascii="Verdana" w:hAnsi="Verdana" w:cs="Arial"/>
          <w:sz w:val="20"/>
          <w:szCs w:val="20"/>
        </w:rPr>
      </w:pPr>
      <w:r w:rsidRPr="00D40192">
        <w:rPr>
          <w:rFonts w:ascii="Verdana" w:hAnsi="Verdana" w:cs="Arial"/>
          <w:sz w:val="20"/>
          <w:szCs w:val="20"/>
        </w:rPr>
        <w:t>La Sociedad Administradora debe cobrar una comisión de manejo uniforme y única para todos sus afiliados. Sin perjuicio de adelantar el procedimiento de modificación del reglamento de fondo, las modificaciones a dicha comisión de manejo deben ser informadas por la administradora a cada afiliado con no menos de 15 días hábiles de antelación con respecto al día en el cual dichos cambios comiencen a operar, mediante</w:t>
      </w:r>
      <w:r w:rsidR="00BE79DA">
        <w:rPr>
          <w:rFonts w:ascii="Verdana" w:hAnsi="Verdana" w:cs="Arial"/>
          <w:sz w:val="20"/>
          <w:szCs w:val="20"/>
        </w:rPr>
        <w:t xml:space="preserve"> una comunicación al </w:t>
      </w:r>
      <w:r w:rsidR="005B4B01">
        <w:rPr>
          <w:rFonts w:ascii="Verdana" w:hAnsi="Verdana" w:cs="Arial"/>
          <w:sz w:val="20"/>
          <w:szCs w:val="20"/>
        </w:rPr>
        <w:t xml:space="preserve">correo electrónico </w:t>
      </w:r>
      <w:r w:rsidR="00BE79DA">
        <w:rPr>
          <w:rFonts w:ascii="Verdana" w:hAnsi="Verdana" w:cs="Arial"/>
          <w:sz w:val="20"/>
          <w:szCs w:val="20"/>
        </w:rPr>
        <w:t xml:space="preserve">del afiliado </w:t>
      </w:r>
      <w:r w:rsidR="00B2349B">
        <w:rPr>
          <w:rFonts w:ascii="Verdana" w:hAnsi="Verdana" w:cs="Arial"/>
          <w:sz w:val="20"/>
          <w:szCs w:val="20"/>
        </w:rPr>
        <w:t xml:space="preserve">y </w:t>
      </w:r>
      <w:r w:rsidR="00A15EC6">
        <w:rPr>
          <w:rFonts w:ascii="Verdana" w:hAnsi="Verdana" w:cs="Arial"/>
          <w:sz w:val="20"/>
          <w:szCs w:val="20"/>
        </w:rPr>
        <w:t xml:space="preserve">en la </w:t>
      </w:r>
      <w:r w:rsidR="00995E67">
        <w:rPr>
          <w:rFonts w:ascii="Verdana" w:hAnsi="Verdana" w:cs="Arial"/>
          <w:sz w:val="20"/>
          <w:szCs w:val="20"/>
        </w:rPr>
        <w:t>página web de la administradora</w:t>
      </w:r>
      <w:r w:rsidR="00B268C9">
        <w:rPr>
          <w:rFonts w:ascii="Verdana" w:hAnsi="Verdana" w:cs="Arial"/>
          <w:sz w:val="20"/>
          <w:szCs w:val="20"/>
        </w:rPr>
        <w:t xml:space="preserve">, </w:t>
      </w:r>
      <w:r w:rsidRPr="00D40192">
        <w:rPr>
          <w:rFonts w:ascii="Verdana" w:hAnsi="Verdana" w:cs="Arial"/>
          <w:sz w:val="20"/>
          <w:szCs w:val="20"/>
        </w:rPr>
        <w:t>o</w:t>
      </w:r>
      <w:r w:rsidR="00B268C9">
        <w:rPr>
          <w:rFonts w:ascii="Verdana" w:hAnsi="Verdana" w:cs="Arial"/>
          <w:sz w:val="20"/>
          <w:szCs w:val="20"/>
        </w:rPr>
        <w:t xml:space="preserve"> mediante</w:t>
      </w:r>
      <w:r w:rsidRPr="00D40192">
        <w:rPr>
          <w:rFonts w:ascii="Verdana" w:hAnsi="Verdana" w:cs="Arial"/>
          <w:sz w:val="20"/>
          <w:szCs w:val="20"/>
        </w:rPr>
        <w:t xml:space="preserve"> aviso destacado en un diario de amplia circulación nacional, en el cual se exprese el porcentaje vigente al momento de la publicación y el nuevo porcentaje aprobado por la entidad, así como la fecha a partir de la cual comenzará a aplicarse la nueva comisión, todo ello sin perjuicio de la publicación de los cambios en carteleras dispuestas para el efecto en las oficinas de la administradora y de las de la </w:t>
      </w:r>
      <w:r w:rsidRPr="00D40192">
        <w:rPr>
          <w:rFonts w:ascii="Verdana" w:hAnsi="Verdana" w:cs="Arial"/>
          <w:sz w:val="20"/>
          <w:szCs w:val="20"/>
        </w:rPr>
        <w:lastRenderedPageBreak/>
        <w:t>red de oficinas de los establecimientos de crédito contratad</w:t>
      </w:r>
      <w:r w:rsidR="006D3CA4">
        <w:rPr>
          <w:rFonts w:ascii="Verdana" w:hAnsi="Verdana" w:cs="Arial"/>
          <w:sz w:val="20"/>
          <w:szCs w:val="20"/>
        </w:rPr>
        <w:t>os</w:t>
      </w:r>
      <w:r w:rsidRPr="00D40192">
        <w:rPr>
          <w:rFonts w:ascii="Verdana" w:hAnsi="Verdana" w:cs="Arial"/>
          <w:sz w:val="20"/>
          <w:szCs w:val="20"/>
        </w:rPr>
        <w:t xml:space="preserve"> para la atención al cliente. Cuando la modificación aprobada implique una reducción en la comisión de manejo, la misma puede avisarse con </w:t>
      </w:r>
      <w:r w:rsidR="00566973" w:rsidRPr="00D40192">
        <w:rPr>
          <w:rFonts w:ascii="Verdana" w:hAnsi="Verdana" w:cs="Arial"/>
          <w:sz w:val="20"/>
          <w:szCs w:val="20"/>
        </w:rPr>
        <w:t>3</w:t>
      </w:r>
      <w:r w:rsidRPr="00D40192">
        <w:rPr>
          <w:rFonts w:ascii="Verdana" w:hAnsi="Verdana" w:cs="Arial"/>
          <w:sz w:val="20"/>
          <w:szCs w:val="20"/>
        </w:rPr>
        <w:t xml:space="preserve"> días hábiles de antelación.</w:t>
      </w:r>
    </w:p>
    <w:p w14:paraId="1C457A4A" w14:textId="1A1B3ED6" w:rsidR="004877E3" w:rsidRPr="00D40192" w:rsidRDefault="00855EEC" w:rsidP="004877E3">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4877E3" w:rsidRPr="00D40192">
        <w:rPr>
          <w:rFonts w:ascii="Verdana" w:hAnsi="Verdana" w:cs="Arial"/>
          <w:bCs/>
          <w:sz w:val="20"/>
          <w:szCs w:val="20"/>
        </w:rPr>
        <w:t>1.</w:t>
      </w:r>
      <w:r w:rsidR="00940C50" w:rsidRPr="00D40192">
        <w:rPr>
          <w:rFonts w:ascii="Verdana" w:hAnsi="Verdana" w:cs="Arial"/>
          <w:bCs/>
          <w:sz w:val="20"/>
          <w:szCs w:val="20"/>
        </w:rPr>
        <w:t>21</w:t>
      </w:r>
      <w:r w:rsidR="004877E3" w:rsidRPr="00D40192">
        <w:rPr>
          <w:rFonts w:ascii="Verdana" w:hAnsi="Verdana" w:cs="Arial"/>
          <w:bCs/>
          <w:sz w:val="20"/>
          <w:szCs w:val="20"/>
        </w:rPr>
        <w:t>.</w:t>
      </w:r>
    </w:p>
    <w:p w14:paraId="03DF1AEE" w14:textId="70B66F27" w:rsidR="0060639E" w:rsidRPr="00D40192" w:rsidRDefault="0060639E" w:rsidP="0060639E">
      <w:pPr>
        <w:jc w:val="both"/>
        <w:rPr>
          <w:rFonts w:ascii="Verdana" w:hAnsi="Verdana" w:cs="Arial"/>
          <w:sz w:val="20"/>
          <w:szCs w:val="20"/>
        </w:rPr>
      </w:pPr>
      <w:r w:rsidRPr="00D40192">
        <w:rPr>
          <w:rFonts w:ascii="Verdana" w:hAnsi="Verdana" w:cs="Arial"/>
          <w:sz w:val="20"/>
          <w:szCs w:val="20"/>
        </w:rPr>
        <w:t>Las entidades deben acreditar el cumplimiento de esta exigencia ante la S</w:t>
      </w:r>
      <w:r w:rsidR="00431C47">
        <w:rPr>
          <w:rFonts w:ascii="Verdana" w:hAnsi="Verdana" w:cs="Arial"/>
          <w:sz w:val="20"/>
          <w:szCs w:val="20"/>
        </w:rPr>
        <w:t xml:space="preserve">FC </w:t>
      </w:r>
      <w:r w:rsidRPr="00D40192">
        <w:rPr>
          <w:rFonts w:ascii="Verdana" w:hAnsi="Verdana" w:cs="Arial"/>
          <w:sz w:val="20"/>
          <w:szCs w:val="20"/>
        </w:rPr>
        <w:t>mediante la remisión de una copia de</w:t>
      </w:r>
      <w:r w:rsidR="00C603AD">
        <w:rPr>
          <w:rFonts w:ascii="Verdana" w:hAnsi="Verdana" w:cs="Arial"/>
          <w:sz w:val="20"/>
          <w:szCs w:val="20"/>
        </w:rPr>
        <w:t xml:space="preserve"> </w:t>
      </w:r>
      <w:r w:rsidRPr="00D40192">
        <w:rPr>
          <w:rFonts w:ascii="Verdana" w:hAnsi="Verdana" w:cs="Arial"/>
          <w:sz w:val="20"/>
          <w:szCs w:val="20"/>
        </w:rPr>
        <w:t>l</w:t>
      </w:r>
      <w:r w:rsidR="00C603AD">
        <w:rPr>
          <w:rFonts w:ascii="Verdana" w:hAnsi="Verdana" w:cs="Arial"/>
          <w:sz w:val="20"/>
          <w:szCs w:val="20"/>
        </w:rPr>
        <w:t>a comunicación</w:t>
      </w:r>
      <w:r w:rsidRPr="00D40192">
        <w:rPr>
          <w:rFonts w:ascii="Verdana" w:hAnsi="Verdana" w:cs="Arial"/>
          <w:sz w:val="20"/>
          <w:szCs w:val="20"/>
        </w:rPr>
        <w:t xml:space="preserve"> respectiv</w:t>
      </w:r>
      <w:r w:rsidR="00C603AD">
        <w:rPr>
          <w:rFonts w:ascii="Verdana" w:hAnsi="Verdana" w:cs="Arial"/>
          <w:sz w:val="20"/>
          <w:szCs w:val="20"/>
        </w:rPr>
        <w:t>a</w:t>
      </w:r>
      <w:r w:rsidRPr="00D40192">
        <w:rPr>
          <w:rFonts w:ascii="Verdana" w:hAnsi="Verdana" w:cs="Arial"/>
          <w:sz w:val="20"/>
          <w:szCs w:val="20"/>
        </w:rPr>
        <w:t>, dentro de los 2 días hábiles siguientes a su publicación.</w:t>
      </w:r>
    </w:p>
    <w:p w14:paraId="519768B8" w14:textId="0D5F91BD" w:rsidR="0060639E" w:rsidRPr="00D40192" w:rsidRDefault="0060639E" w:rsidP="002A4657">
      <w:pPr>
        <w:pStyle w:val="Prrafodelista"/>
        <w:numPr>
          <w:ilvl w:val="0"/>
          <w:numId w:val="25"/>
        </w:numPr>
        <w:ind w:left="284" w:hanging="284"/>
        <w:jc w:val="both"/>
        <w:rPr>
          <w:rFonts w:ascii="Verdana" w:hAnsi="Verdana" w:cs="Arial"/>
          <w:sz w:val="20"/>
          <w:szCs w:val="20"/>
        </w:rPr>
      </w:pPr>
      <w:r w:rsidRPr="00D40192">
        <w:rPr>
          <w:rFonts w:ascii="Verdana" w:hAnsi="Verdana" w:cs="Arial"/>
          <w:b/>
          <w:bCs/>
          <w:sz w:val="20"/>
          <w:szCs w:val="20"/>
        </w:rPr>
        <w:t>Sobre el valor de los portafolios de corto y largo plazo del fondo de cesantías</w:t>
      </w:r>
      <w:r w:rsidRPr="00D40192">
        <w:rPr>
          <w:rFonts w:ascii="Verdana" w:hAnsi="Verdana" w:cs="Arial"/>
          <w:sz w:val="20"/>
          <w:szCs w:val="20"/>
        </w:rPr>
        <w:t xml:space="preserve"> </w:t>
      </w:r>
    </w:p>
    <w:p w14:paraId="65F988C0" w14:textId="008954F2" w:rsidR="007075C1" w:rsidRPr="00D40192" w:rsidRDefault="00855EEC" w:rsidP="007075C1">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7075C1" w:rsidRPr="00D40192">
        <w:rPr>
          <w:rFonts w:ascii="Verdana" w:hAnsi="Verdana" w:cs="Arial"/>
          <w:bCs/>
          <w:sz w:val="20"/>
          <w:szCs w:val="20"/>
        </w:rPr>
        <w:t>1.2</w:t>
      </w:r>
      <w:r w:rsidR="00940C50" w:rsidRPr="00D40192">
        <w:rPr>
          <w:rFonts w:ascii="Verdana" w:hAnsi="Verdana" w:cs="Arial"/>
          <w:bCs/>
          <w:sz w:val="20"/>
          <w:szCs w:val="20"/>
        </w:rPr>
        <w:t>2</w:t>
      </w:r>
      <w:r w:rsidR="007075C1" w:rsidRPr="00D40192">
        <w:rPr>
          <w:rFonts w:ascii="Verdana" w:hAnsi="Verdana" w:cs="Arial"/>
          <w:bCs/>
          <w:sz w:val="20"/>
          <w:szCs w:val="20"/>
        </w:rPr>
        <w:t>.</w:t>
      </w:r>
    </w:p>
    <w:p w14:paraId="690B294B" w14:textId="1D7BFDDB" w:rsidR="0060639E" w:rsidRPr="00D40192" w:rsidRDefault="0060639E" w:rsidP="0060639E">
      <w:pPr>
        <w:jc w:val="both"/>
        <w:rPr>
          <w:rFonts w:ascii="Verdana" w:hAnsi="Verdana" w:cs="Arial"/>
          <w:sz w:val="20"/>
          <w:szCs w:val="20"/>
        </w:rPr>
      </w:pPr>
      <w:r w:rsidRPr="00D40192">
        <w:rPr>
          <w:rFonts w:ascii="Verdana" w:hAnsi="Verdana" w:cs="Arial"/>
          <w:sz w:val="20"/>
          <w:szCs w:val="20"/>
        </w:rPr>
        <w:t>La Sociedad Administradora puede cobrar el porcentaje equivalente anual que determine, con sujeción a los límites establecidos por la S</w:t>
      </w:r>
      <w:r w:rsidR="002D353C">
        <w:rPr>
          <w:rFonts w:ascii="Verdana" w:hAnsi="Verdana" w:cs="Arial"/>
          <w:sz w:val="20"/>
          <w:szCs w:val="20"/>
        </w:rPr>
        <w:t>FC</w:t>
      </w:r>
      <w:r w:rsidRPr="00D40192">
        <w:rPr>
          <w:rFonts w:ascii="Verdana" w:hAnsi="Verdana" w:cs="Arial"/>
          <w:sz w:val="20"/>
          <w:szCs w:val="20"/>
        </w:rPr>
        <w:t>. Tal comisión es única para todos los afiliados y se liquida en forma diaria a una tasa que debe corresponder a 1/365 del porcentaje determinado y se debe aplicar con un mínimo de 9 decimales</w:t>
      </w:r>
      <w:r w:rsidR="0044350C">
        <w:rPr>
          <w:rFonts w:ascii="Verdana" w:hAnsi="Verdana" w:cs="Arial"/>
          <w:sz w:val="20"/>
          <w:szCs w:val="20"/>
        </w:rPr>
        <w:t xml:space="preserve">, </w:t>
      </w:r>
      <w:r w:rsidRPr="00D40192">
        <w:rPr>
          <w:rFonts w:ascii="Verdana" w:hAnsi="Verdana" w:cs="Arial"/>
          <w:sz w:val="20"/>
          <w:szCs w:val="20"/>
        </w:rPr>
        <w:t xml:space="preserve">expresado en términos porcentuales. </w:t>
      </w:r>
    </w:p>
    <w:p w14:paraId="310026AF" w14:textId="3D6625FB" w:rsidR="007075C1" w:rsidRPr="00D40192" w:rsidRDefault="00855EEC" w:rsidP="007075C1">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7075C1" w:rsidRPr="00D40192">
        <w:rPr>
          <w:rFonts w:ascii="Verdana" w:hAnsi="Verdana" w:cs="Arial"/>
          <w:bCs/>
          <w:sz w:val="20"/>
          <w:szCs w:val="20"/>
        </w:rPr>
        <w:t>1.2</w:t>
      </w:r>
      <w:r w:rsidR="00940C50" w:rsidRPr="00D40192">
        <w:rPr>
          <w:rFonts w:ascii="Verdana" w:hAnsi="Verdana" w:cs="Arial"/>
          <w:bCs/>
          <w:sz w:val="20"/>
          <w:szCs w:val="20"/>
        </w:rPr>
        <w:t>3</w:t>
      </w:r>
      <w:r w:rsidR="007075C1" w:rsidRPr="00D40192">
        <w:rPr>
          <w:rFonts w:ascii="Verdana" w:hAnsi="Verdana" w:cs="Arial"/>
          <w:bCs/>
          <w:sz w:val="20"/>
          <w:szCs w:val="20"/>
        </w:rPr>
        <w:t>.</w:t>
      </w:r>
    </w:p>
    <w:p w14:paraId="063A0475" w14:textId="39F09254" w:rsidR="0060639E" w:rsidRPr="00D40192" w:rsidRDefault="0060639E" w:rsidP="0060639E">
      <w:pPr>
        <w:jc w:val="both"/>
        <w:rPr>
          <w:rFonts w:ascii="Verdana" w:hAnsi="Verdana" w:cs="Arial"/>
          <w:sz w:val="20"/>
          <w:szCs w:val="20"/>
        </w:rPr>
      </w:pPr>
      <w:proofErr w:type="gramStart"/>
      <w:r w:rsidRPr="00D40192">
        <w:rPr>
          <w:rFonts w:ascii="Verdana" w:hAnsi="Verdana" w:cs="Arial"/>
          <w:sz w:val="20"/>
          <w:szCs w:val="20"/>
        </w:rPr>
        <w:t>Los porcentajes a aplicar</w:t>
      </w:r>
      <w:proofErr w:type="gramEnd"/>
      <w:r w:rsidR="006201D5">
        <w:rPr>
          <w:rFonts w:ascii="Verdana" w:hAnsi="Verdana" w:cs="Arial"/>
          <w:sz w:val="20"/>
          <w:szCs w:val="20"/>
        </w:rPr>
        <w:t>,</w:t>
      </w:r>
      <w:r w:rsidRPr="00D40192">
        <w:rPr>
          <w:rFonts w:ascii="Verdana" w:hAnsi="Verdana" w:cs="Arial"/>
          <w:sz w:val="20"/>
          <w:szCs w:val="20"/>
        </w:rPr>
        <w:t xml:space="preserve"> en caso de que se cobre la comisión máxima autorizada por esta Superintendencia equivalen, en el caso del portafolio de corto plazo, al 0.002739726% del valor del portafolio, mientras que en el caso del portafolio de largo plazo al 0.008219178% del valor del portafolio.</w:t>
      </w:r>
      <w:r w:rsidR="00893D06" w:rsidRPr="00D40192">
        <w:rPr>
          <w:rFonts w:ascii="Verdana" w:hAnsi="Verdana" w:cs="Arial"/>
          <w:sz w:val="20"/>
          <w:szCs w:val="20"/>
        </w:rPr>
        <w:t xml:space="preserve"> </w:t>
      </w:r>
      <w:r w:rsidRPr="00D40192">
        <w:rPr>
          <w:rFonts w:ascii="Verdana" w:hAnsi="Verdana" w:cs="Arial"/>
          <w:sz w:val="20"/>
          <w:szCs w:val="20"/>
        </w:rPr>
        <w:t>Las fórmulas para el cálculo de dicha comisión se consignan a continuación:</w:t>
      </w:r>
    </w:p>
    <w:p w14:paraId="4C9604B9" w14:textId="0BB22CDC" w:rsidR="0060639E" w:rsidRPr="00D40192" w:rsidRDefault="00684668" w:rsidP="0060639E">
      <w:pPr>
        <w:jc w:val="both"/>
        <w:rPr>
          <w:rFonts w:ascii="Verdana" w:hAnsi="Verdana" w:cs="Arial"/>
          <w:sz w:val="20"/>
          <w:szCs w:val="20"/>
        </w:rPr>
      </w:pPr>
      <m:oMathPara>
        <m:oMath>
          <m:r>
            <w:rPr>
              <w:rFonts w:ascii="Cambria Math" w:hAnsi="Cambria Math" w:cs="Arial"/>
              <w:sz w:val="20"/>
              <w:szCs w:val="20"/>
            </w:rPr>
            <m:t>CMSP=</m:t>
          </m:r>
          <m:f>
            <m:fPr>
              <m:ctrlPr>
                <w:rPr>
                  <w:rFonts w:ascii="Cambria Math" w:hAnsi="Cambria Math" w:cs="Arial"/>
                  <w:i/>
                  <w:sz w:val="20"/>
                  <w:szCs w:val="20"/>
                </w:rPr>
              </m:ctrlPr>
            </m:fPr>
            <m:num>
              <m:r>
                <w:rPr>
                  <w:rFonts w:ascii="Cambria Math" w:hAnsi="Cambria Math" w:cs="Arial"/>
                  <w:sz w:val="20"/>
                  <w:szCs w:val="20"/>
                </w:rPr>
                <m:t>X%</m:t>
              </m:r>
            </m:num>
            <m:den>
              <m:r>
                <w:rPr>
                  <w:rFonts w:ascii="Cambria Math" w:hAnsi="Cambria Math" w:cs="Arial"/>
                  <w:sz w:val="20"/>
                  <w:szCs w:val="20"/>
                </w:rPr>
                <m:t>365</m:t>
              </m:r>
            </m:den>
          </m:f>
          <m:r>
            <w:rPr>
              <w:rFonts w:ascii="Cambria Math" w:hAnsi="Cambria Math" w:cs="Arial"/>
              <w:sz w:val="20"/>
              <w:szCs w:val="20"/>
            </w:rPr>
            <m:t>*VPC</m:t>
          </m:r>
        </m:oMath>
      </m:oMathPara>
    </w:p>
    <w:p w14:paraId="32401A4E" w14:textId="77777777" w:rsidR="0060639E" w:rsidRPr="00D40192" w:rsidRDefault="0060639E" w:rsidP="0060639E">
      <w:pPr>
        <w:jc w:val="both"/>
        <w:rPr>
          <w:rFonts w:ascii="Verdana" w:hAnsi="Verdana" w:cs="Arial"/>
          <w:sz w:val="20"/>
          <w:szCs w:val="20"/>
        </w:rPr>
      </w:pPr>
      <w:r w:rsidRPr="00D40192">
        <w:rPr>
          <w:rFonts w:ascii="Verdana" w:hAnsi="Verdana" w:cs="Arial"/>
          <w:sz w:val="20"/>
          <w:szCs w:val="20"/>
        </w:rPr>
        <w:t>Donde:</w:t>
      </w:r>
    </w:p>
    <w:p w14:paraId="41F23F32" w14:textId="2727BF4B" w:rsidR="0060639E" w:rsidRPr="00D40192" w:rsidRDefault="00644BB0" w:rsidP="0060639E">
      <w:pPr>
        <w:jc w:val="both"/>
        <w:rPr>
          <w:rFonts w:ascii="Verdana" w:hAnsi="Verdana" w:cs="Arial"/>
          <w:sz w:val="20"/>
          <w:szCs w:val="20"/>
        </w:rPr>
      </w:pPr>
      <m:oMath>
        <m:r>
          <w:rPr>
            <w:rFonts w:ascii="Cambria Math" w:hAnsi="Cambria Math" w:cs="Arial"/>
            <w:sz w:val="20"/>
            <w:szCs w:val="20"/>
          </w:rPr>
          <m:t>CMSP</m:t>
        </m:r>
      </m:oMath>
      <w:r>
        <w:rPr>
          <w:rFonts w:ascii="Verdana" w:eastAsiaTheme="minorEastAsia" w:hAnsi="Verdana" w:cs="Arial"/>
          <w:sz w:val="20"/>
          <w:szCs w:val="20"/>
        </w:rPr>
        <w:t>: es la c</w:t>
      </w:r>
      <w:r w:rsidR="0060639E" w:rsidRPr="00D40192">
        <w:rPr>
          <w:rFonts w:ascii="Verdana" w:hAnsi="Verdana" w:cs="Arial"/>
          <w:sz w:val="20"/>
          <w:szCs w:val="20"/>
        </w:rPr>
        <w:t xml:space="preserve">omisión diaria sobre el valor del portafolio </w:t>
      </w:r>
    </w:p>
    <w:p w14:paraId="18681954" w14:textId="15E767C2" w:rsidR="0060639E" w:rsidRPr="00D40192" w:rsidRDefault="00644BB0" w:rsidP="00644BB0">
      <w:pPr>
        <w:jc w:val="both"/>
        <w:rPr>
          <w:rFonts w:ascii="Verdana" w:hAnsi="Verdana" w:cs="Arial"/>
          <w:sz w:val="20"/>
          <w:szCs w:val="20"/>
        </w:rPr>
      </w:pPr>
      <m:oMath>
        <m:r>
          <w:rPr>
            <w:rFonts w:ascii="Cambria Math" w:hAnsi="Cambria Math" w:cs="Arial"/>
            <w:sz w:val="20"/>
            <w:szCs w:val="20"/>
          </w:rPr>
          <m:t>X%</m:t>
        </m:r>
      </m:oMath>
      <w:r>
        <w:rPr>
          <w:rFonts w:ascii="Verdana" w:eastAsiaTheme="minorEastAsia" w:hAnsi="Verdana" w:cs="Arial"/>
          <w:sz w:val="20"/>
          <w:szCs w:val="20"/>
        </w:rPr>
        <w:t>: es el p</w:t>
      </w:r>
      <w:proofErr w:type="spellStart"/>
      <w:r w:rsidR="0060639E" w:rsidRPr="00D40192">
        <w:rPr>
          <w:rFonts w:ascii="Verdana" w:hAnsi="Verdana" w:cs="Arial"/>
          <w:sz w:val="20"/>
          <w:szCs w:val="20"/>
        </w:rPr>
        <w:t>orcentaje</w:t>
      </w:r>
      <w:proofErr w:type="spellEnd"/>
      <w:r w:rsidR="0060639E" w:rsidRPr="00D40192">
        <w:rPr>
          <w:rFonts w:ascii="Verdana" w:hAnsi="Verdana" w:cs="Arial"/>
          <w:sz w:val="20"/>
          <w:szCs w:val="20"/>
        </w:rPr>
        <w:t xml:space="preserve"> de comisión sobre el valor del portafolio determinado por la Sociedad Administradora</w:t>
      </w:r>
    </w:p>
    <w:p w14:paraId="62DE601C" w14:textId="4DC3D414" w:rsidR="0060639E" w:rsidRPr="00D40192" w:rsidRDefault="00644BB0" w:rsidP="0060639E">
      <w:pPr>
        <w:jc w:val="both"/>
        <w:rPr>
          <w:rFonts w:ascii="Verdana" w:hAnsi="Verdana" w:cs="Arial"/>
          <w:sz w:val="20"/>
          <w:szCs w:val="20"/>
        </w:rPr>
      </w:pPr>
      <m:oMath>
        <m:r>
          <w:rPr>
            <w:rFonts w:ascii="Cambria Math" w:hAnsi="Cambria Math" w:cs="Arial"/>
            <w:sz w:val="20"/>
            <w:szCs w:val="20"/>
          </w:rPr>
          <m:t>VPC</m:t>
        </m:r>
      </m:oMath>
      <w:r>
        <w:rPr>
          <w:rFonts w:ascii="Verdana" w:hAnsi="Verdana" w:cs="Arial"/>
          <w:sz w:val="20"/>
          <w:szCs w:val="20"/>
        </w:rPr>
        <w:t>: es el v</w:t>
      </w:r>
      <w:proofErr w:type="spellStart"/>
      <w:r w:rsidR="0060639E" w:rsidRPr="00D40192">
        <w:rPr>
          <w:rFonts w:ascii="Verdana" w:hAnsi="Verdana" w:cs="Arial"/>
          <w:sz w:val="20"/>
          <w:szCs w:val="20"/>
        </w:rPr>
        <w:t>alor</w:t>
      </w:r>
      <w:proofErr w:type="spellEnd"/>
      <w:r w:rsidR="0060639E" w:rsidRPr="00D40192">
        <w:rPr>
          <w:rFonts w:ascii="Verdana" w:hAnsi="Verdana" w:cs="Arial"/>
          <w:sz w:val="20"/>
          <w:szCs w:val="20"/>
        </w:rPr>
        <w:t xml:space="preserve"> del portafolio al cierre del día t antes de rendimientos</w:t>
      </w:r>
    </w:p>
    <w:p w14:paraId="7CE3D881" w14:textId="3486C4D5" w:rsidR="00033C42" w:rsidRPr="00D40192" w:rsidRDefault="00855EEC" w:rsidP="00033C42">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33C42" w:rsidRPr="00D40192">
        <w:rPr>
          <w:rFonts w:ascii="Verdana" w:hAnsi="Verdana" w:cs="Arial"/>
          <w:bCs/>
          <w:sz w:val="20"/>
          <w:szCs w:val="20"/>
        </w:rPr>
        <w:t>1.2</w:t>
      </w:r>
      <w:r w:rsidR="00940C50" w:rsidRPr="00D40192">
        <w:rPr>
          <w:rFonts w:ascii="Verdana" w:hAnsi="Verdana" w:cs="Arial"/>
          <w:bCs/>
          <w:sz w:val="20"/>
          <w:szCs w:val="20"/>
        </w:rPr>
        <w:t>4</w:t>
      </w:r>
      <w:r w:rsidR="00033C42" w:rsidRPr="00D40192">
        <w:rPr>
          <w:rFonts w:ascii="Verdana" w:hAnsi="Verdana" w:cs="Arial"/>
          <w:bCs/>
          <w:sz w:val="20"/>
          <w:szCs w:val="20"/>
        </w:rPr>
        <w:t>.</w:t>
      </w:r>
    </w:p>
    <w:p w14:paraId="6AB5C4C1" w14:textId="77777777" w:rsidR="0060639E" w:rsidRPr="00D40192" w:rsidRDefault="0060639E" w:rsidP="0060639E">
      <w:pPr>
        <w:jc w:val="both"/>
        <w:rPr>
          <w:rFonts w:ascii="Verdana" w:hAnsi="Verdana" w:cs="Arial"/>
          <w:sz w:val="20"/>
          <w:szCs w:val="20"/>
        </w:rPr>
      </w:pPr>
      <w:r w:rsidRPr="00D40192">
        <w:rPr>
          <w:rFonts w:ascii="Verdana" w:hAnsi="Verdana" w:cs="Arial"/>
          <w:sz w:val="20"/>
          <w:szCs w:val="20"/>
        </w:rPr>
        <w:t>Durante el respectivo mes la comisión sobre el valor del portafolio debe registrarse mediante abonos diarios a una cuenta por pagar con cargo a gastos del respectivo portafolio.</w:t>
      </w:r>
    </w:p>
    <w:p w14:paraId="64618C23" w14:textId="4E4EE7BD" w:rsidR="00033C42" w:rsidRPr="00D40192" w:rsidRDefault="0060639E" w:rsidP="00DC48DD">
      <w:pPr>
        <w:pStyle w:val="Prrafodelista"/>
        <w:numPr>
          <w:ilvl w:val="0"/>
          <w:numId w:val="25"/>
        </w:numPr>
        <w:ind w:left="284" w:hanging="284"/>
        <w:jc w:val="both"/>
        <w:rPr>
          <w:rFonts w:ascii="Verdana" w:hAnsi="Verdana" w:cs="Arial"/>
          <w:b/>
          <w:bCs/>
          <w:sz w:val="20"/>
          <w:szCs w:val="20"/>
        </w:rPr>
      </w:pPr>
      <w:r w:rsidRPr="00D40192">
        <w:rPr>
          <w:rFonts w:ascii="Verdana" w:hAnsi="Verdana" w:cs="Arial"/>
          <w:b/>
          <w:bCs/>
          <w:sz w:val="20"/>
          <w:szCs w:val="20"/>
        </w:rPr>
        <w:t>Sobre el valor de cada retiro anticipado</w:t>
      </w:r>
    </w:p>
    <w:p w14:paraId="3458A466" w14:textId="177F7201" w:rsidR="00033C42" w:rsidRPr="00D40192" w:rsidRDefault="00855EEC" w:rsidP="00033C42">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033C42" w:rsidRPr="00D40192">
        <w:rPr>
          <w:rFonts w:ascii="Verdana" w:hAnsi="Verdana" w:cs="Arial"/>
          <w:bCs/>
          <w:sz w:val="20"/>
          <w:szCs w:val="20"/>
        </w:rPr>
        <w:t>1.2</w:t>
      </w:r>
      <w:r w:rsidR="00940C50" w:rsidRPr="00D40192">
        <w:rPr>
          <w:rFonts w:ascii="Verdana" w:hAnsi="Verdana" w:cs="Arial"/>
          <w:bCs/>
          <w:sz w:val="20"/>
          <w:szCs w:val="20"/>
        </w:rPr>
        <w:t>5</w:t>
      </w:r>
      <w:r w:rsidR="00033C42" w:rsidRPr="00D40192">
        <w:rPr>
          <w:rFonts w:ascii="Verdana" w:hAnsi="Verdana" w:cs="Arial"/>
          <w:bCs/>
          <w:sz w:val="20"/>
          <w:szCs w:val="20"/>
        </w:rPr>
        <w:t>.</w:t>
      </w:r>
    </w:p>
    <w:p w14:paraId="63DB8DBE" w14:textId="18697FEE" w:rsidR="0060639E" w:rsidRPr="00D40192" w:rsidRDefault="0060639E" w:rsidP="0060639E">
      <w:pPr>
        <w:jc w:val="both"/>
        <w:rPr>
          <w:rFonts w:ascii="Verdana" w:hAnsi="Verdana" w:cs="Arial"/>
          <w:sz w:val="20"/>
          <w:szCs w:val="20"/>
        </w:rPr>
      </w:pPr>
      <w:r w:rsidRPr="00D40192">
        <w:rPr>
          <w:rFonts w:ascii="Verdana" w:hAnsi="Verdana" w:cs="Arial"/>
          <w:sz w:val="20"/>
          <w:szCs w:val="20"/>
        </w:rPr>
        <w:t xml:space="preserve">La Sociedad Administradora puede </w:t>
      </w:r>
      <w:r w:rsidR="00E618E6">
        <w:rPr>
          <w:rFonts w:ascii="Verdana" w:hAnsi="Verdana" w:cs="Arial"/>
          <w:sz w:val="20"/>
          <w:szCs w:val="20"/>
        </w:rPr>
        <w:t xml:space="preserve">estimar </w:t>
      </w:r>
      <w:r w:rsidR="009351E1">
        <w:rPr>
          <w:rFonts w:ascii="Verdana" w:hAnsi="Verdana" w:cs="Arial"/>
          <w:sz w:val="20"/>
          <w:szCs w:val="20"/>
        </w:rPr>
        <w:t xml:space="preserve">el </w:t>
      </w:r>
      <w:r w:rsidRPr="00D40192">
        <w:rPr>
          <w:rFonts w:ascii="Verdana" w:hAnsi="Verdana" w:cs="Arial"/>
          <w:sz w:val="20"/>
          <w:szCs w:val="20"/>
        </w:rPr>
        <w:t>cobr</w:t>
      </w:r>
      <w:r w:rsidR="009351E1">
        <w:rPr>
          <w:rFonts w:ascii="Verdana" w:hAnsi="Verdana" w:cs="Arial"/>
          <w:sz w:val="20"/>
          <w:szCs w:val="20"/>
        </w:rPr>
        <w:t>o</w:t>
      </w:r>
      <w:r w:rsidRPr="00D40192">
        <w:rPr>
          <w:rFonts w:ascii="Verdana" w:hAnsi="Verdana" w:cs="Arial"/>
          <w:sz w:val="20"/>
          <w:szCs w:val="20"/>
        </w:rPr>
        <w:t xml:space="preserve"> </w:t>
      </w:r>
      <w:r w:rsidR="009351E1">
        <w:rPr>
          <w:rFonts w:ascii="Verdana" w:hAnsi="Verdana" w:cs="Arial"/>
          <w:sz w:val="20"/>
          <w:szCs w:val="20"/>
        </w:rPr>
        <w:t xml:space="preserve">de </w:t>
      </w:r>
      <w:r w:rsidRPr="00D40192">
        <w:rPr>
          <w:rFonts w:ascii="Verdana" w:hAnsi="Verdana" w:cs="Arial"/>
          <w:sz w:val="20"/>
          <w:szCs w:val="20"/>
        </w:rPr>
        <w:t>una comisión, siempre y cuando sea uniforme y única para todos los afiliados, con sujeción al límite establecido por la S</w:t>
      </w:r>
      <w:r w:rsidR="007863ED">
        <w:rPr>
          <w:rFonts w:ascii="Verdana" w:hAnsi="Verdana" w:cs="Arial"/>
          <w:sz w:val="20"/>
          <w:szCs w:val="20"/>
        </w:rPr>
        <w:t>FC</w:t>
      </w:r>
      <w:r w:rsidRPr="00D40192">
        <w:rPr>
          <w:rFonts w:ascii="Verdana" w:hAnsi="Verdana" w:cs="Arial"/>
          <w:sz w:val="20"/>
          <w:szCs w:val="20"/>
        </w:rPr>
        <w:t>, el cual será máximo del 0.8% sobre el valor de cada retiro anticipado. Dicha comisión no puede ser recibida por la Sociedad Administradora mientras no se certifique el cumplimiento de la rentabilidad mínima al cierre del mes; entre tanto se debe contabilizar en cuentas de orden de los estados financieros del portafolio respectivo</w:t>
      </w:r>
      <w:r w:rsidR="00202836">
        <w:rPr>
          <w:rFonts w:ascii="Verdana" w:hAnsi="Verdana" w:cs="Arial"/>
          <w:sz w:val="20"/>
          <w:szCs w:val="20"/>
        </w:rPr>
        <w:t>.</w:t>
      </w:r>
    </w:p>
    <w:p w14:paraId="00CB7138" w14:textId="6E11EEBE" w:rsidR="005C06CC" w:rsidRPr="00D40192" w:rsidRDefault="00855EEC" w:rsidP="005C06CC">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5C06CC" w:rsidRPr="00D40192">
        <w:rPr>
          <w:rFonts w:ascii="Verdana" w:hAnsi="Verdana" w:cs="Arial"/>
          <w:bCs/>
          <w:sz w:val="20"/>
          <w:szCs w:val="20"/>
        </w:rPr>
        <w:t>1.2</w:t>
      </w:r>
      <w:r w:rsidR="00940C50" w:rsidRPr="00D40192">
        <w:rPr>
          <w:rFonts w:ascii="Verdana" w:hAnsi="Verdana" w:cs="Arial"/>
          <w:bCs/>
          <w:sz w:val="20"/>
          <w:szCs w:val="20"/>
        </w:rPr>
        <w:t>6</w:t>
      </w:r>
      <w:r w:rsidR="005C06CC" w:rsidRPr="00D40192">
        <w:rPr>
          <w:rFonts w:ascii="Verdana" w:hAnsi="Verdana" w:cs="Arial"/>
          <w:bCs/>
          <w:sz w:val="20"/>
          <w:szCs w:val="20"/>
        </w:rPr>
        <w:t>.</w:t>
      </w:r>
    </w:p>
    <w:p w14:paraId="4D10EC5F" w14:textId="73358293" w:rsidR="0060639E" w:rsidRPr="00D40192" w:rsidRDefault="0060639E" w:rsidP="0060639E">
      <w:pPr>
        <w:jc w:val="both"/>
        <w:rPr>
          <w:rFonts w:ascii="Verdana" w:hAnsi="Verdana" w:cs="Arial"/>
          <w:sz w:val="20"/>
          <w:szCs w:val="20"/>
        </w:rPr>
      </w:pPr>
      <w:r w:rsidRPr="00D40192">
        <w:rPr>
          <w:rFonts w:ascii="Verdana" w:hAnsi="Verdana" w:cs="Arial"/>
          <w:sz w:val="20"/>
          <w:szCs w:val="20"/>
        </w:rPr>
        <w:t xml:space="preserve">Por lo tanto, el valor liquidado como CMSRA debe permanecer en la cuenta de </w:t>
      </w:r>
      <w:r w:rsidR="00740AF9">
        <w:rPr>
          <w:rFonts w:ascii="Verdana" w:hAnsi="Verdana" w:cs="Arial"/>
          <w:sz w:val="20"/>
          <w:szCs w:val="20"/>
        </w:rPr>
        <w:t>ahorro</w:t>
      </w:r>
      <w:r w:rsidRPr="00D40192">
        <w:rPr>
          <w:rFonts w:ascii="Verdana" w:hAnsi="Verdana" w:cs="Arial"/>
          <w:sz w:val="20"/>
          <w:szCs w:val="20"/>
        </w:rPr>
        <w:t xml:space="preserve"> individual del afiliado hasta fin de mes, teniendo en cuenta que:</w:t>
      </w:r>
    </w:p>
    <w:p w14:paraId="0CD4A2B7" w14:textId="22053F4D" w:rsidR="0060639E" w:rsidRPr="00D40192" w:rsidRDefault="002A4554" w:rsidP="0060639E">
      <w:pPr>
        <w:jc w:val="both"/>
        <w:rPr>
          <w:rFonts w:ascii="Verdana" w:hAnsi="Verdana" w:cs="Arial"/>
          <w:sz w:val="20"/>
          <w:szCs w:val="20"/>
        </w:rPr>
      </w:pPr>
      <m:oMathPara>
        <m:oMath>
          <m:r>
            <w:rPr>
              <w:rFonts w:ascii="Cambria Math" w:hAnsi="Cambria Math" w:cs="Arial"/>
              <w:sz w:val="20"/>
              <w:szCs w:val="20"/>
            </w:rPr>
            <m:t>CMSRA=X%*VR</m:t>
          </m:r>
        </m:oMath>
      </m:oMathPara>
    </w:p>
    <w:p w14:paraId="5D449723" w14:textId="77777777" w:rsidR="0060639E" w:rsidRPr="00D40192" w:rsidRDefault="0060639E" w:rsidP="0060639E">
      <w:pPr>
        <w:jc w:val="both"/>
        <w:rPr>
          <w:rFonts w:ascii="Verdana" w:hAnsi="Verdana" w:cs="Arial"/>
          <w:sz w:val="20"/>
          <w:szCs w:val="20"/>
        </w:rPr>
      </w:pPr>
      <w:r w:rsidRPr="00D40192">
        <w:rPr>
          <w:rFonts w:ascii="Verdana" w:hAnsi="Verdana" w:cs="Arial"/>
          <w:sz w:val="20"/>
          <w:szCs w:val="20"/>
        </w:rPr>
        <w:t>Donde:</w:t>
      </w:r>
    </w:p>
    <w:p w14:paraId="2777E1D0" w14:textId="3771A1E6" w:rsidR="0060639E" w:rsidRPr="00D40192" w:rsidRDefault="00A332A6" w:rsidP="0060639E">
      <w:pPr>
        <w:jc w:val="both"/>
        <w:rPr>
          <w:rFonts w:ascii="Verdana" w:hAnsi="Verdana" w:cs="Arial"/>
          <w:sz w:val="20"/>
          <w:szCs w:val="20"/>
        </w:rPr>
      </w:pPr>
      <m:oMath>
        <m:r>
          <w:rPr>
            <w:rFonts w:ascii="Cambria Math" w:hAnsi="Cambria Math" w:cs="Arial"/>
            <w:sz w:val="20"/>
            <w:szCs w:val="20"/>
          </w:rPr>
          <m:t>CMSRA</m:t>
        </m:r>
      </m:oMath>
      <w:r>
        <w:rPr>
          <w:rFonts w:ascii="Verdana" w:eastAsiaTheme="minorEastAsia" w:hAnsi="Verdana" w:cs="Arial"/>
          <w:sz w:val="20"/>
          <w:szCs w:val="20"/>
        </w:rPr>
        <w:t>: es la</w:t>
      </w:r>
      <w:r>
        <w:rPr>
          <w:rFonts w:ascii="Verdana" w:hAnsi="Verdana" w:cs="Arial"/>
          <w:sz w:val="20"/>
          <w:szCs w:val="20"/>
        </w:rPr>
        <w:t xml:space="preserve"> c</w:t>
      </w:r>
      <w:r w:rsidR="0060639E" w:rsidRPr="00D40192">
        <w:rPr>
          <w:rFonts w:ascii="Verdana" w:hAnsi="Verdana" w:cs="Arial"/>
          <w:sz w:val="20"/>
          <w:szCs w:val="20"/>
        </w:rPr>
        <w:t>omisión sobre cada retiro anticipado</w:t>
      </w:r>
    </w:p>
    <w:p w14:paraId="5BED2AF0" w14:textId="323F335D" w:rsidR="0060639E" w:rsidRPr="00D40192" w:rsidRDefault="00A332A6" w:rsidP="0060639E">
      <w:pPr>
        <w:jc w:val="both"/>
        <w:rPr>
          <w:rFonts w:ascii="Verdana" w:hAnsi="Verdana" w:cs="Arial"/>
          <w:sz w:val="20"/>
          <w:szCs w:val="20"/>
        </w:rPr>
      </w:pPr>
      <m:oMath>
        <m:r>
          <w:rPr>
            <w:rFonts w:ascii="Cambria Math" w:hAnsi="Cambria Math" w:cs="Arial"/>
            <w:sz w:val="20"/>
            <w:szCs w:val="20"/>
          </w:rPr>
          <m:t>X%</m:t>
        </m:r>
      </m:oMath>
      <w:r>
        <w:rPr>
          <w:rFonts w:ascii="Verdana" w:eastAsiaTheme="minorEastAsia" w:hAnsi="Verdana" w:cs="Arial"/>
          <w:sz w:val="20"/>
          <w:szCs w:val="20"/>
        </w:rPr>
        <w:t xml:space="preserve">: es el </w:t>
      </w:r>
      <w:r>
        <w:rPr>
          <w:rFonts w:ascii="Verdana" w:hAnsi="Verdana" w:cs="Arial"/>
          <w:sz w:val="20"/>
          <w:szCs w:val="20"/>
        </w:rPr>
        <w:t>p</w:t>
      </w:r>
      <w:r w:rsidR="0060639E" w:rsidRPr="00D40192">
        <w:rPr>
          <w:rFonts w:ascii="Verdana" w:hAnsi="Verdana" w:cs="Arial"/>
          <w:sz w:val="20"/>
          <w:szCs w:val="20"/>
        </w:rPr>
        <w:t>orcentaje de comisión sobre el retiro anticipado.</w:t>
      </w:r>
    </w:p>
    <w:p w14:paraId="5A409496" w14:textId="78966658" w:rsidR="0060639E" w:rsidRPr="00D40192" w:rsidRDefault="00D1296A" w:rsidP="0060639E">
      <w:pPr>
        <w:jc w:val="both"/>
        <w:rPr>
          <w:rFonts w:ascii="Verdana" w:hAnsi="Verdana" w:cs="Arial"/>
          <w:sz w:val="20"/>
          <w:szCs w:val="20"/>
        </w:rPr>
      </w:pPr>
      <m:oMath>
        <m:r>
          <w:rPr>
            <w:rFonts w:ascii="Cambria Math" w:hAnsi="Cambria Math" w:cs="Arial"/>
            <w:sz w:val="20"/>
            <w:szCs w:val="20"/>
          </w:rPr>
          <m:t>VR</m:t>
        </m:r>
      </m:oMath>
      <w:r>
        <w:rPr>
          <w:rFonts w:ascii="Verdana" w:eastAsiaTheme="minorEastAsia" w:hAnsi="Verdana" w:cs="Arial"/>
          <w:sz w:val="20"/>
          <w:szCs w:val="20"/>
        </w:rPr>
        <w:t>: es el</w:t>
      </w:r>
      <w:r>
        <w:rPr>
          <w:rFonts w:ascii="Verdana" w:hAnsi="Verdana" w:cs="Arial"/>
          <w:sz w:val="20"/>
          <w:szCs w:val="20"/>
        </w:rPr>
        <w:t xml:space="preserve"> v</w:t>
      </w:r>
      <w:r w:rsidR="0060639E" w:rsidRPr="00D40192">
        <w:rPr>
          <w:rFonts w:ascii="Verdana" w:hAnsi="Verdana" w:cs="Arial"/>
          <w:sz w:val="20"/>
          <w:szCs w:val="20"/>
        </w:rPr>
        <w:t>alor del retiro anticipado</w:t>
      </w:r>
    </w:p>
    <w:p w14:paraId="401DC0CC" w14:textId="598AB0F9" w:rsidR="00B77499" w:rsidRPr="00D40192" w:rsidRDefault="00855EEC" w:rsidP="00B77499">
      <w:pPr>
        <w:tabs>
          <w:tab w:val="left" w:pos="540"/>
        </w:tabs>
        <w:spacing w:after="0" w:line="240" w:lineRule="auto"/>
        <w:jc w:val="both"/>
        <w:rPr>
          <w:rFonts w:ascii="Verdana" w:hAnsi="Verdana" w:cs="Arial"/>
          <w:bCs/>
          <w:sz w:val="20"/>
          <w:szCs w:val="20"/>
        </w:rPr>
      </w:pPr>
      <w:r>
        <w:rPr>
          <w:rFonts w:ascii="Verdana" w:hAnsi="Verdana" w:cs="Arial"/>
          <w:bCs/>
          <w:sz w:val="20"/>
          <w:szCs w:val="20"/>
        </w:rPr>
        <w:t>3.11.</w:t>
      </w:r>
      <w:r w:rsidR="00B77499" w:rsidRPr="00D40192">
        <w:rPr>
          <w:rFonts w:ascii="Verdana" w:hAnsi="Verdana" w:cs="Arial"/>
          <w:bCs/>
          <w:sz w:val="20"/>
          <w:szCs w:val="20"/>
        </w:rPr>
        <w:t>1.2</w:t>
      </w:r>
      <w:r w:rsidR="00940C50" w:rsidRPr="00D40192">
        <w:rPr>
          <w:rFonts w:ascii="Verdana" w:hAnsi="Verdana" w:cs="Arial"/>
          <w:bCs/>
          <w:sz w:val="20"/>
          <w:szCs w:val="20"/>
        </w:rPr>
        <w:t>7</w:t>
      </w:r>
      <w:r w:rsidR="00B77499" w:rsidRPr="00D40192">
        <w:rPr>
          <w:rFonts w:ascii="Verdana" w:hAnsi="Verdana" w:cs="Arial"/>
          <w:bCs/>
          <w:sz w:val="20"/>
          <w:szCs w:val="20"/>
        </w:rPr>
        <w:t>.</w:t>
      </w:r>
    </w:p>
    <w:p w14:paraId="2ECEDEFA" w14:textId="29D21ED3" w:rsidR="0060639E" w:rsidRPr="00D40192" w:rsidRDefault="0060639E" w:rsidP="0060639E">
      <w:pPr>
        <w:jc w:val="both"/>
        <w:rPr>
          <w:rFonts w:ascii="Verdana" w:hAnsi="Verdana" w:cs="Arial"/>
          <w:sz w:val="20"/>
          <w:szCs w:val="20"/>
        </w:rPr>
      </w:pPr>
      <w:r w:rsidRPr="00D40192">
        <w:rPr>
          <w:rFonts w:ascii="Verdana" w:hAnsi="Verdana" w:cs="Arial"/>
          <w:sz w:val="20"/>
          <w:szCs w:val="20"/>
        </w:rPr>
        <w:t xml:space="preserve">En el evento en que un </w:t>
      </w:r>
      <w:r w:rsidR="006658B5">
        <w:rPr>
          <w:rFonts w:ascii="Verdana" w:hAnsi="Verdana" w:cs="Arial"/>
          <w:sz w:val="20"/>
          <w:szCs w:val="20"/>
        </w:rPr>
        <w:t xml:space="preserve">afiliado </w:t>
      </w:r>
      <w:r w:rsidRPr="00D40192">
        <w:rPr>
          <w:rFonts w:ascii="Verdana" w:hAnsi="Verdana" w:cs="Arial"/>
          <w:sz w:val="20"/>
          <w:szCs w:val="20"/>
        </w:rPr>
        <w:t>se retire definitivamente del portafolio habiendo efectuado retiros anticipados durante el mismo mes, las comisiones liquidadas por retiros parciales se deben descontar del valor a entregar al afiliado</w:t>
      </w:r>
      <w:r w:rsidR="006C0066">
        <w:rPr>
          <w:rFonts w:ascii="Verdana" w:hAnsi="Verdana" w:cs="Arial"/>
          <w:sz w:val="20"/>
          <w:szCs w:val="20"/>
        </w:rPr>
        <w:t>.</w:t>
      </w:r>
    </w:p>
    <w:sectPr w:rsidR="0060639E" w:rsidRPr="00D40192"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52836" w14:textId="77777777" w:rsidR="00AA01BE" w:rsidRDefault="00AA01BE" w:rsidP="00057BF6">
      <w:pPr>
        <w:spacing w:after="0" w:line="240" w:lineRule="auto"/>
      </w:pPr>
      <w:r>
        <w:separator/>
      </w:r>
    </w:p>
  </w:endnote>
  <w:endnote w:type="continuationSeparator" w:id="0">
    <w:p w14:paraId="3985FA3A" w14:textId="77777777" w:rsidR="00AA01BE" w:rsidRDefault="00AA01BE" w:rsidP="00057BF6">
      <w:pPr>
        <w:spacing w:after="0" w:line="240" w:lineRule="auto"/>
      </w:pPr>
      <w:r>
        <w:continuationSeparator/>
      </w:r>
    </w:p>
  </w:endnote>
  <w:endnote w:type="continuationNotice" w:id="1">
    <w:p w14:paraId="3BE0C3BC" w14:textId="77777777" w:rsidR="00AA01BE" w:rsidRDefault="00AA0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05B01" w14:textId="77777777" w:rsidR="00AA01BE" w:rsidRDefault="00AA01BE" w:rsidP="00057BF6">
      <w:pPr>
        <w:spacing w:after="0" w:line="240" w:lineRule="auto"/>
      </w:pPr>
      <w:r>
        <w:separator/>
      </w:r>
    </w:p>
  </w:footnote>
  <w:footnote w:type="continuationSeparator" w:id="0">
    <w:p w14:paraId="5804D499" w14:textId="77777777" w:rsidR="00AA01BE" w:rsidRDefault="00AA01BE" w:rsidP="00057BF6">
      <w:pPr>
        <w:spacing w:after="0" w:line="240" w:lineRule="auto"/>
      </w:pPr>
      <w:r>
        <w:continuationSeparator/>
      </w:r>
    </w:p>
  </w:footnote>
  <w:footnote w:type="continuationNotice" w:id="1">
    <w:p w14:paraId="21CEDF0F" w14:textId="77777777" w:rsidR="00AA01BE" w:rsidRDefault="00AA01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E5C"/>
    <w:multiLevelType w:val="hybridMultilevel"/>
    <w:tmpl w:val="05D654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E3173F"/>
    <w:multiLevelType w:val="hybridMultilevel"/>
    <w:tmpl w:val="260E42EE"/>
    <w:lvl w:ilvl="0" w:tplc="240A0001">
      <w:start w:val="1"/>
      <w:numFmt w:val="bullet"/>
      <w:lvlText w:val=""/>
      <w:lvlJc w:val="left"/>
      <w:pPr>
        <w:ind w:left="720" w:hanging="360"/>
      </w:pPr>
      <w:rPr>
        <w:rFonts w:ascii="Symbol" w:hAnsi="Symbol" w:hint="default"/>
      </w:rPr>
    </w:lvl>
    <w:lvl w:ilvl="1" w:tplc="3D380656">
      <w:numFmt w:val="bullet"/>
      <w:lvlText w:val="-"/>
      <w:lvlJc w:val="left"/>
      <w:pPr>
        <w:ind w:left="1650" w:hanging="57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091306C"/>
    <w:multiLevelType w:val="hybridMultilevel"/>
    <w:tmpl w:val="F968976A"/>
    <w:lvl w:ilvl="0" w:tplc="E438C9F2">
      <w:start w:val="2"/>
      <w:numFmt w:val="lowerRoman"/>
      <w:lvlText w:val="%1."/>
      <w:lvlJc w:val="left"/>
      <w:pPr>
        <w:ind w:left="1287" w:hanging="7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3" w15:restartNumberingAfterBreak="0">
    <w:nsid w:val="10D450F4"/>
    <w:multiLevelType w:val="hybridMultilevel"/>
    <w:tmpl w:val="E71253F8"/>
    <w:lvl w:ilvl="0" w:tplc="256E738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9A056CF"/>
    <w:multiLevelType w:val="hybridMultilevel"/>
    <w:tmpl w:val="48C870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F6326F"/>
    <w:multiLevelType w:val="hybridMultilevel"/>
    <w:tmpl w:val="2782034E"/>
    <w:lvl w:ilvl="0" w:tplc="3A8C8F7A">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8E4B1A"/>
    <w:multiLevelType w:val="hybridMultilevel"/>
    <w:tmpl w:val="DDC0ABDA"/>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5252677"/>
    <w:multiLevelType w:val="hybridMultilevel"/>
    <w:tmpl w:val="960CCE5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A39161A"/>
    <w:multiLevelType w:val="hybridMultilevel"/>
    <w:tmpl w:val="987C665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D1B11EA"/>
    <w:multiLevelType w:val="hybridMultilevel"/>
    <w:tmpl w:val="57AA698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7422899"/>
    <w:multiLevelType w:val="hybridMultilevel"/>
    <w:tmpl w:val="26C6F02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D896416"/>
    <w:multiLevelType w:val="hybridMultilevel"/>
    <w:tmpl w:val="2EC82DB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7485277"/>
    <w:multiLevelType w:val="hybridMultilevel"/>
    <w:tmpl w:val="7396DD6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92C7309"/>
    <w:multiLevelType w:val="hybridMultilevel"/>
    <w:tmpl w:val="1CA695EA"/>
    <w:lvl w:ilvl="0" w:tplc="A302F232">
      <w:start w:val="2"/>
      <w:numFmt w:val="lowerRoman"/>
      <w:lvlText w:val="%1."/>
      <w:lvlJc w:val="left"/>
      <w:pPr>
        <w:ind w:left="1287" w:hanging="72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4" w15:restartNumberingAfterBreak="0">
    <w:nsid w:val="4B164C41"/>
    <w:multiLevelType w:val="hybridMultilevel"/>
    <w:tmpl w:val="E5E07838"/>
    <w:lvl w:ilvl="0" w:tplc="2CD42C6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6B22BC5"/>
    <w:multiLevelType w:val="hybridMultilevel"/>
    <w:tmpl w:val="A1D846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6DF6205"/>
    <w:multiLevelType w:val="multilevel"/>
    <w:tmpl w:val="0C0A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12"/>
        </w:tabs>
        <w:ind w:left="612" w:hanging="432"/>
      </w:pPr>
      <w:rPr>
        <w:rFonts w:cs="Times New Roman"/>
      </w:rPr>
    </w:lvl>
    <w:lvl w:ilvl="2">
      <w:start w:val="1"/>
      <w:numFmt w:val="decimal"/>
      <w:lvlText w:val="%1.%2.%3."/>
      <w:lvlJc w:val="left"/>
      <w:pPr>
        <w:tabs>
          <w:tab w:val="num" w:pos="1620"/>
        </w:tabs>
        <w:ind w:left="140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58ED3C8F"/>
    <w:multiLevelType w:val="hybridMultilevel"/>
    <w:tmpl w:val="A4BAE37A"/>
    <w:lvl w:ilvl="0" w:tplc="507E6F12">
      <w:start w:val="9"/>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8" w15:restartNumberingAfterBreak="0">
    <w:nsid w:val="59A851F7"/>
    <w:multiLevelType w:val="hybridMultilevel"/>
    <w:tmpl w:val="92CACA8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201907"/>
    <w:multiLevelType w:val="hybridMultilevel"/>
    <w:tmpl w:val="FBF225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2F3DFD"/>
    <w:multiLevelType w:val="hybridMultilevel"/>
    <w:tmpl w:val="1780C9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89C0899"/>
    <w:multiLevelType w:val="hybridMultilevel"/>
    <w:tmpl w:val="0FD475EE"/>
    <w:lvl w:ilvl="0" w:tplc="CE10B3FA">
      <w:start w:val="1"/>
      <w:numFmt w:val="lowerRoman"/>
      <w:lvlText w:val="%1."/>
      <w:lvlJc w:val="left"/>
      <w:pPr>
        <w:ind w:left="1080" w:hanging="720"/>
      </w:pPr>
      <w:rPr>
        <w:rFonts w:hint="default"/>
      </w:rPr>
    </w:lvl>
    <w:lvl w:ilvl="1" w:tplc="8EC48954">
      <w:start w:val="1"/>
      <w:numFmt w:val="lowerLetter"/>
      <w:lvlText w:val="%2."/>
      <w:lvlJc w:val="left"/>
      <w:pPr>
        <w:ind w:left="1650" w:hanging="57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D484237"/>
    <w:multiLevelType w:val="hybridMultilevel"/>
    <w:tmpl w:val="1C08E9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00A0E00"/>
    <w:multiLevelType w:val="hybridMultilevel"/>
    <w:tmpl w:val="19C2A95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3624F17"/>
    <w:multiLevelType w:val="hybridMultilevel"/>
    <w:tmpl w:val="2608671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63F2949"/>
    <w:multiLevelType w:val="hybridMultilevel"/>
    <w:tmpl w:val="77789436"/>
    <w:lvl w:ilvl="0" w:tplc="B55C3D6A">
      <w:start w:val="1"/>
      <w:numFmt w:val="lowerRoman"/>
      <w:lvlText w:val="%1."/>
      <w:lvlJc w:val="left"/>
      <w:pPr>
        <w:ind w:left="1287" w:hanging="720"/>
      </w:pPr>
      <w:rPr>
        <w:rFonts w:hint="default"/>
        <w:b w:val="0"/>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6" w15:restartNumberingAfterBreak="0">
    <w:nsid w:val="7AE6173C"/>
    <w:multiLevelType w:val="hybridMultilevel"/>
    <w:tmpl w:val="F0EAD0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78432656">
    <w:abstractNumId w:val="16"/>
  </w:num>
  <w:num w:numId="2" w16cid:durableId="1830706745">
    <w:abstractNumId w:val="1"/>
  </w:num>
  <w:num w:numId="3" w16cid:durableId="831409789">
    <w:abstractNumId w:val="18"/>
  </w:num>
  <w:num w:numId="4" w16cid:durableId="1727215189">
    <w:abstractNumId w:val="3"/>
  </w:num>
  <w:num w:numId="5" w16cid:durableId="346567792">
    <w:abstractNumId w:val="25"/>
  </w:num>
  <w:num w:numId="6" w16cid:durableId="113257862">
    <w:abstractNumId w:val="12"/>
  </w:num>
  <w:num w:numId="7" w16cid:durableId="1639334126">
    <w:abstractNumId w:val="4"/>
  </w:num>
  <w:num w:numId="8" w16cid:durableId="171342135">
    <w:abstractNumId w:val="26"/>
  </w:num>
  <w:num w:numId="9" w16cid:durableId="1364593515">
    <w:abstractNumId w:val="8"/>
  </w:num>
  <w:num w:numId="10" w16cid:durableId="786236195">
    <w:abstractNumId w:val="24"/>
  </w:num>
  <w:num w:numId="11" w16cid:durableId="2008705889">
    <w:abstractNumId w:val="17"/>
  </w:num>
  <w:num w:numId="12" w16cid:durableId="1948661489">
    <w:abstractNumId w:val="2"/>
  </w:num>
  <w:num w:numId="13" w16cid:durableId="1967272833">
    <w:abstractNumId w:val="5"/>
  </w:num>
  <w:num w:numId="14" w16cid:durableId="1098721490">
    <w:abstractNumId w:val="9"/>
  </w:num>
  <w:num w:numId="15" w16cid:durableId="1470979247">
    <w:abstractNumId w:val="21"/>
  </w:num>
  <w:num w:numId="16" w16cid:durableId="312830032">
    <w:abstractNumId w:val="14"/>
  </w:num>
  <w:num w:numId="17" w16cid:durableId="1854106669">
    <w:abstractNumId w:val="7"/>
  </w:num>
  <w:num w:numId="18" w16cid:durableId="1655527089">
    <w:abstractNumId w:val="23"/>
  </w:num>
  <w:num w:numId="19" w16cid:durableId="2027826327">
    <w:abstractNumId w:val="13"/>
  </w:num>
  <w:num w:numId="20" w16cid:durableId="680817501">
    <w:abstractNumId w:val="10"/>
  </w:num>
  <w:num w:numId="21" w16cid:durableId="1244754831">
    <w:abstractNumId w:val="20"/>
  </w:num>
  <w:num w:numId="22" w16cid:durableId="670107456">
    <w:abstractNumId w:val="15"/>
  </w:num>
  <w:num w:numId="23" w16cid:durableId="139928822">
    <w:abstractNumId w:val="6"/>
  </w:num>
  <w:num w:numId="24" w16cid:durableId="1076437213">
    <w:abstractNumId w:val="0"/>
  </w:num>
  <w:num w:numId="25" w16cid:durableId="307979869">
    <w:abstractNumId w:val="19"/>
  </w:num>
  <w:num w:numId="26" w16cid:durableId="986737304">
    <w:abstractNumId w:val="22"/>
  </w:num>
  <w:num w:numId="27" w16cid:durableId="12184679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24DE"/>
    <w:rsid w:val="000123B7"/>
    <w:rsid w:val="00022EDF"/>
    <w:rsid w:val="00033C42"/>
    <w:rsid w:val="000403F0"/>
    <w:rsid w:val="00042D6C"/>
    <w:rsid w:val="000455F8"/>
    <w:rsid w:val="00057BF6"/>
    <w:rsid w:val="0006736C"/>
    <w:rsid w:val="00072835"/>
    <w:rsid w:val="000807D7"/>
    <w:rsid w:val="00090860"/>
    <w:rsid w:val="000A74D4"/>
    <w:rsid w:val="000B2A74"/>
    <w:rsid w:val="000C18D5"/>
    <w:rsid w:val="000E74AF"/>
    <w:rsid w:val="000F00F0"/>
    <w:rsid w:val="001053D1"/>
    <w:rsid w:val="00114DC0"/>
    <w:rsid w:val="00121841"/>
    <w:rsid w:val="00145D92"/>
    <w:rsid w:val="001773D6"/>
    <w:rsid w:val="00186143"/>
    <w:rsid w:val="0019791D"/>
    <w:rsid w:val="00197D7E"/>
    <w:rsid w:val="001B33D3"/>
    <w:rsid w:val="001B5187"/>
    <w:rsid w:val="001B6192"/>
    <w:rsid w:val="001C5790"/>
    <w:rsid w:val="001C717D"/>
    <w:rsid w:val="001D2862"/>
    <w:rsid w:val="001D39E6"/>
    <w:rsid w:val="001E3C3A"/>
    <w:rsid w:val="001F69A9"/>
    <w:rsid w:val="002012F9"/>
    <w:rsid w:val="00202836"/>
    <w:rsid w:val="0021666A"/>
    <w:rsid w:val="00234373"/>
    <w:rsid w:val="00234BA7"/>
    <w:rsid w:val="00237B62"/>
    <w:rsid w:val="00237DB2"/>
    <w:rsid w:val="002665A3"/>
    <w:rsid w:val="00271F30"/>
    <w:rsid w:val="00273951"/>
    <w:rsid w:val="00273AC3"/>
    <w:rsid w:val="00280E28"/>
    <w:rsid w:val="0028352D"/>
    <w:rsid w:val="002A4554"/>
    <w:rsid w:val="002A4657"/>
    <w:rsid w:val="002B4F4A"/>
    <w:rsid w:val="002B6995"/>
    <w:rsid w:val="002B7109"/>
    <w:rsid w:val="002C1032"/>
    <w:rsid w:val="002D353C"/>
    <w:rsid w:val="002E6F01"/>
    <w:rsid w:val="002E7244"/>
    <w:rsid w:val="002F24EA"/>
    <w:rsid w:val="002F5CF4"/>
    <w:rsid w:val="00301CB9"/>
    <w:rsid w:val="00314A26"/>
    <w:rsid w:val="00316D31"/>
    <w:rsid w:val="00336614"/>
    <w:rsid w:val="003414F0"/>
    <w:rsid w:val="0034265B"/>
    <w:rsid w:val="00351020"/>
    <w:rsid w:val="003714AE"/>
    <w:rsid w:val="00376E91"/>
    <w:rsid w:val="003830AB"/>
    <w:rsid w:val="0038444C"/>
    <w:rsid w:val="0038780F"/>
    <w:rsid w:val="003922F9"/>
    <w:rsid w:val="003A5CFE"/>
    <w:rsid w:val="003A6651"/>
    <w:rsid w:val="003A6DC6"/>
    <w:rsid w:val="003B1D5C"/>
    <w:rsid w:val="003B2D1D"/>
    <w:rsid w:val="003B4627"/>
    <w:rsid w:val="003C2FD9"/>
    <w:rsid w:val="003C4A4D"/>
    <w:rsid w:val="003C558F"/>
    <w:rsid w:val="003D21FB"/>
    <w:rsid w:val="003D6E22"/>
    <w:rsid w:val="003F31B4"/>
    <w:rsid w:val="00402FB4"/>
    <w:rsid w:val="0040498E"/>
    <w:rsid w:val="00404B47"/>
    <w:rsid w:val="00405030"/>
    <w:rsid w:val="00406D2B"/>
    <w:rsid w:val="0042766B"/>
    <w:rsid w:val="00431C47"/>
    <w:rsid w:val="0043223D"/>
    <w:rsid w:val="00433236"/>
    <w:rsid w:val="00436E20"/>
    <w:rsid w:val="00437295"/>
    <w:rsid w:val="0044350C"/>
    <w:rsid w:val="00460E49"/>
    <w:rsid w:val="0047077C"/>
    <w:rsid w:val="004877E3"/>
    <w:rsid w:val="004A1574"/>
    <w:rsid w:val="004A4717"/>
    <w:rsid w:val="004B0DAD"/>
    <w:rsid w:val="004B3B5D"/>
    <w:rsid w:val="004C6B63"/>
    <w:rsid w:val="004F12A1"/>
    <w:rsid w:val="00516A88"/>
    <w:rsid w:val="00523048"/>
    <w:rsid w:val="005538AE"/>
    <w:rsid w:val="005573F3"/>
    <w:rsid w:val="0055785C"/>
    <w:rsid w:val="00566973"/>
    <w:rsid w:val="00574D89"/>
    <w:rsid w:val="00586AE8"/>
    <w:rsid w:val="00587518"/>
    <w:rsid w:val="00596B88"/>
    <w:rsid w:val="005B4741"/>
    <w:rsid w:val="005B4B01"/>
    <w:rsid w:val="005C06CC"/>
    <w:rsid w:val="005D3925"/>
    <w:rsid w:val="005D4A48"/>
    <w:rsid w:val="005D6F14"/>
    <w:rsid w:val="005F31D3"/>
    <w:rsid w:val="0060639E"/>
    <w:rsid w:val="0061423F"/>
    <w:rsid w:val="00614A9F"/>
    <w:rsid w:val="006201D5"/>
    <w:rsid w:val="00625429"/>
    <w:rsid w:val="00633D81"/>
    <w:rsid w:val="00644BB0"/>
    <w:rsid w:val="00655330"/>
    <w:rsid w:val="00655849"/>
    <w:rsid w:val="0066092B"/>
    <w:rsid w:val="006658B5"/>
    <w:rsid w:val="00666282"/>
    <w:rsid w:val="00667CE1"/>
    <w:rsid w:val="006732B3"/>
    <w:rsid w:val="00684668"/>
    <w:rsid w:val="006853ED"/>
    <w:rsid w:val="00696488"/>
    <w:rsid w:val="006B0455"/>
    <w:rsid w:val="006B11D4"/>
    <w:rsid w:val="006B7F30"/>
    <w:rsid w:val="006C0066"/>
    <w:rsid w:val="006D3CA4"/>
    <w:rsid w:val="006D64B6"/>
    <w:rsid w:val="006E167E"/>
    <w:rsid w:val="006E7C25"/>
    <w:rsid w:val="006F0F32"/>
    <w:rsid w:val="007075C1"/>
    <w:rsid w:val="00721D02"/>
    <w:rsid w:val="007267C6"/>
    <w:rsid w:val="00740AF9"/>
    <w:rsid w:val="00741BE5"/>
    <w:rsid w:val="00751259"/>
    <w:rsid w:val="00762BCD"/>
    <w:rsid w:val="00763491"/>
    <w:rsid w:val="007715E7"/>
    <w:rsid w:val="007734A1"/>
    <w:rsid w:val="007863ED"/>
    <w:rsid w:val="007A259F"/>
    <w:rsid w:val="007A302E"/>
    <w:rsid w:val="007A6B05"/>
    <w:rsid w:val="007B0B01"/>
    <w:rsid w:val="007B3EE6"/>
    <w:rsid w:val="007E0DF4"/>
    <w:rsid w:val="007E0EE1"/>
    <w:rsid w:val="007F58C0"/>
    <w:rsid w:val="00800005"/>
    <w:rsid w:val="00813493"/>
    <w:rsid w:val="0082125F"/>
    <w:rsid w:val="00826E8E"/>
    <w:rsid w:val="008353A3"/>
    <w:rsid w:val="0085161E"/>
    <w:rsid w:val="008540D2"/>
    <w:rsid w:val="00855EEC"/>
    <w:rsid w:val="008639DF"/>
    <w:rsid w:val="00882E95"/>
    <w:rsid w:val="008860BB"/>
    <w:rsid w:val="00887659"/>
    <w:rsid w:val="00893D06"/>
    <w:rsid w:val="008971E3"/>
    <w:rsid w:val="008B2CCA"/>
    <w:rsid w:val="008D165F"/>
    <w:rsid w:val="009056D7"/>
    <w:rsid w:val="00910337"/>
    <w:rsid w:val="00924BF3"/>
    <w:rsid w:val="009351E1"/>
    <w:rsid w:val="009370A1"/>
    <w:rsid w:val="00940C50"/>
    <w:rsid w:val="00956EC8"/>
    <w:rsid w:val="009571FD"/>
    <w:rsid w:val="00986852"/>
    <w:rsid w:val="00995E67"/>
    <w:rsid w:val="009A2823"/>
    <w:rsid w:val="009A52ED"/>
    <w:rsid w:val="009B6D85"/>
    <w:rsid w:val="009D6127"/>
    <w:rsid w:val="009E1A9D"/>
    <w:rsid w:val="00A15EC6"/>
    <w:rsid w:val="00A243A2"/>
    <w:rsid w:val="00A332A6"/>
    <w:rsid w:val="00A40218"/>
    <w:rsid w:val="00A41E5E"/>
    <w:rsid w:val="00A5174F"/>
    <w:rsid w:val="00A51D09"/>
    <w:rsid w:val="00A5336E"/>
    <w:rsid w:val="00A569B4"/>
    <w:rsid w:val="00A74576"/>
    <w:rsid w:val="00A77FC1"/>
    <w:rsid w:val="00A81C91"/>
    <w:rsid w:val="00AA01BE"/>
    <w:rsid w:val="00AC2BB7"/>
    <w:rsid w:val="00AC64EE"/>
    <w:rsid w:val="00AF4843"/>
    <w:rsid w:val="00B2349B"/>
    <w:rsid w:val="00B268C9"/>
    <w:rsid w:val="00B31B11"/>
    <w:rsid w:val="00B5620E"/>
    <w:rsid w:val="00B72BD9"/>
    <w:rsid w:val="00B77499"/>
    <w:rsid w:val="00B77B92"/>
    <w:rsid w:val="00B9241B"/>
    <w:rsid w:val="00BA02C0"/>
    <w:rsid w:val="00BA3D4E"/>
    <w:rsid w:val="00BB7AE0"/>
    <w:rsid w:val="00BC1D0F"/>
    <w:rsid w:val="00BD08E2"/>
    <w:rsid w:val="00BD27C3"/>
    <w:rsid w:val="00BE43A4"/>
    <w:rsid w:val="00BE7307"/>
    <w:rsid w:val="00BE79DA"/>
    <w:rsid w:val="00BF45CC"/>
    <w:rsid w:val="00BF4A65"/>
    <w:rsid w:val="00C01208"/>
    <w:rsid w:val="00C01DD4"/>
    <w:rsid w:val="00C13B2B"/>
    <w:rsid w:val="00C27142"/>
    <w:rsid w:val="00C27EDB"/>
    <w:rsid w:val="00C31B51"/>
    <w:rsid w:val="00C3629F"/>
    <w:rsid w:val="00C45F66"/>
    <w:rsid w:val="00C603AD"/>
    <w:rsid w:val="00C669DB"/>
    <w:rsid w:val="00C70218"/>
    <w:rsid w:val="00CA4CF2"/>
    <w:rsid w:val="00CB6173"/>
    <w:rsid w:val="00CB791D"/>
    <w:rsid w:val="00CC03A7"/>
    <w:rsid w:val="00CC2A94"/>
    <w:rsid w:val="00CC3647"/>
    <w:rsid w:val="00CC44F1"/>
    <w:rsid w:val="00CC6142"/>
    <w:rsid w:val="00CE6356"/>
    <w:rsid w:val="00CF65F3"/>
    <w:rsid w:val="00D1296A"/>
    <w:rsid w:val="00D15381"/>
    <w:rsid w:val="00D23AAA"/>
    <w:rsid w:val="00D40192"/>
    <w:rsid w:val="00D42C83"/>
    <w:rsid w:val="00D512B1"/>
    <w:rsid w:val="00D831EB"/>
    <w:rsid w:val="00D859CB"/>
    <w:rsid w:val="00D978F7"/>
    <w:rsid w:val="00DA0C0E"/>
    <w:rsid w:val="00DA18DF"/>
    <w:rsid w:val="00DA6AA3"/>
    <w:rsid w:val="00DA7E73"/>
    <w:rsid w:val="00DB3370"/>
    <w:rsid w:val="00DC48DD"/>
    <w:rsid w:val="00DD0D9F"/>
    <w:rsid w:val="00DE6674"/>
    <w:rsid w:val="00E03CCC"/>
    <w:rsid w:val="00E10567"/>
    <w:rsid w:val="00E238BB"/>
    <w:rsid w:val="00E26106"/>
    <w:rsid w:val="00E35824"/>
    <w:rsid w:val="00E50276"/>
    <w:rsid w:val="00E519F6"/>
    <w:rsid w:val="00E618E6"/>
    <w:rsid w:val="00E87210"/>
    <w:rsid w:val="00E92F4C"/>
    <w:rsid w:val="00EC4A20"/>
    <w:rsid w:val="00ED1530"/>
    <w:rsid w:val="00ED39C0"/>
    <w:rsid w:val="00ED56C5"/>
    <w:rsid w:val="00ED7A48"/>
    <w:rsid w:val="00F03ACA"/>
    <w:rsid w:val="00F111B7"/>
    <w:rsid w:val="00F13BF2"/>
    <w:rsid w:val="00F21AA2"/>
    <w:rsid w:val="00F2661A"/>
    <w:rsid w:val="00F3570E"/>
    <w:rsid w:val="00F357F3"/>
    <w:rsid w:val="00F45688"/>
    <w:rsid w:val="00F5502D"/>
    <w:rsid w:val="00F87409"/>
    <w:rsid w:val="00F918B0"/>
    <w:rsid w:val="00FB4D07"/>
    <w:rsid w:val="00FC1039"/>
    <w:rsid w:val="00FD3CE1"/>
    <w:rsid w:val="00FF26D4"/>
    <w:rsid w:val="1D846278"/>
    <w:rsid w:val="20CC3765"/>
    <w:rsid w:val="2ABFB2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542C7A95-EB57-49ED-8ECD-A1F12FD9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character" w:styleId="Textodelmarcadordeposicin">
    <w:name w:val="Placeholder Text"/>
    <w:basedOn w:val="Fuentedeprrafopredeter"/>
    <w:uiPriority w:val="99"/>
    <w:semiHidden/>
    <w:rsid w:val="00887659"/>
    <w:rPr>
      <w:color w:val="666666"/>
    </w:rPr>
  </w:style>
  <w:style w:type="paragraph" w:styleId="Revisin">
    <w:name w:val="Revision"/>
    <w:hidden/>
    <w:uiPriority w:val="99"/>
    <w:semiHidden/>
    <w:rsid w:val="000B2A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719CC-2BAF-480D-97FC-94EC443490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7C3C3509-0AF0-4DE3-B485-35128B90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2529</Words>
  <Characters>12789</Characters>
  <Application>Microsoft Office Word</Application>
  <DocSecurity>0</DocSecurity>
  <Lines>286</Lines>
  <Paragraphs>119</Paragraphs>
  <ScaleCrop>false</ScaleCrop>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111</cp:revision>
  <dcterms:created xsi:type="dcterms:W3CDTF">2025-03-19T01:43:00Z</dcterms:created>
  <dcterms:modified xsi:type="dcterms:W3CDTF">2026-04-13T14:28:00Z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